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4E6CBB89" w14:textId="6A4A1DD0" w:rsidR="002D4894" w:rsidRPr="0056407D" w:rsidRDefault="007A7CA7" w:rsidP="0056407D">
      <w:pPr>
        <w:tabs>
          <w:tab w:val="left" w:pos="1365"/>
          <w:tab w:val="left" w:pos="2430"/>
          <w:tab w:val="left" w:pos="4185"/>
          <w:tab w:val="left" w:pos="6900"/>
        </w:tabs>
      </w:pPr>
      <w:r>
        <w:tab/>
      </w:r>
      <w:r w:rsidR="005E1850">
        <w:tab/>
      </w:r>
      <w:r>
        <w:tab/>
      </w:r>
      <w:r w:rsidR="00B707AF">
        <w:tab/>
      </w:r>
    </w:p>
    <w:p w14:paraId="6798E7F1" w14:textId="77777777" w:rsidR="006E6A24" w:rsidRDefault="006E6A24" w:rsidP="0030787A">
      <w:pPr>
        <w:spacing w:before="120" w:after="120"/>
        <w:rPr>
          <w:rFonts w:ascii="Arial" w:hAnsi="Arial" w:cs="Arial"/>
          <w:bCs/>
          <w:sz w:val="24"/>
          <w:szCs w:val="24"/>
        </w:rPr>
      </w:pPr>
    </w:p>
    <w:p w14:paraId="242FB27B" w14:textId="77777777" w:rsidR="006E6A24" w:rsidRDefault="006E6A24" w:rsidP="006E6A24">
      <w:pPr>
        <w:pStyle w:val="Default"/>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6E6A24" w:rsidRPr="006E6A24" w14:paraId="02E92B75" w14:textId="77777777" w:rsidTr="00E166DD">
        <w:tblPrEx>
          <w:tblCellMar>
            <w:top w:w="0" w:type="dxa"/>
            <w:bottom w:w="0" w:type="dxa"/>
          </w:tblCellMar>
        </w:tblPrEx>
        <w:trPr>
          <w:trHeight w:val="247"/>
          <w:jc w:val="center"/>
        </w:trPr>
        <w:tc>
          <w:tcPr>
            <w:tcW w:w="8359" w:type="dxa"/>
            <w:shd w:val="clear" w:color="auto" w:fill="193965"/>
          </w:tcPr>
          <w:p w14:paraId="54DED048" w14:textId="2E4D66BE" w:rsidR="006E6A24" w:rsidRPr="006E6A24" w:rsidRDefault="00E166DD" w:rsidP="006E6A24">
            <w:pPr>
              <w:spacing w:before="120" w:after="120"/>
              <w:rPr>
                <w:rFonts w:ascii="Arial" w:hAnsi="Arial" w:cs="Arial"/>
                <w:b/>
                <w:color w:val="FFFFFF"/>
                <w:sz w:val="28"/>
                <w:szCs w:val="28"/>
              </w:rPr>
            </w:pPr>
            <w:r w:rsidRPr="00E166DD">
              <w:rPr>
                <w:rFonts w:ascii="Arial" w:hAnsi="Arial" w:cs="Arial"/>
                <w:b/>
                <w:color w:val="FFFFFF"/>
                <w:sz w:val="28"/>
                <w:szCs w:val="28"/>
              </w:rPr>
              <w:t>Flussdiagramm: In diesen 8 Schritten wird jeder Expertenstandard erarbeitet</w:t>
            </w:r>
          </w:p>
        </w:tc>
      </w:tr>
      <w:tr w:rsidR="006E6A24" w:rsidRPr="006E6A24" w14:paraId="7E6BAEB0" w14:textId="77777777" w:rsidTr="00E166DD">
        <w:tblPrEx>
          <w:tblCellMar>
            <w:top w:w="0" w:type="dxa"/>
            <w:bottom w:w="0" w:type="dxa"/>
          </w:tblCellMar>
        </w:tblPrEx>
        <w:trPr>
          <w:trHeight w:val="1144"/>
          <w:jc w:val="center"/>
        </w:trPr>
        <w:tc>
          <w:tcPr>
            <w:tcW w:w="8359" w:type="dxa"/>
          </w:tcPr>
          <w:p w14:paraId="5C172177" w14:textId="6A6B5BEA" w:rsidR="006E6A24" w:rsidRPr="00033080" w:rsidRDefault="00E166DD" w:rsidP="00E166DD">
            <w:pPr>
              <w:pStyle w:val="Listenabsatz"/>
              <w:numPr>
                <w:ilvl w:val="0"/>
                <w:numId w:val="26"/>
              </w:numPr>
              <w:spacing w:before="120" w:after="120" w:line="276" w:lineRule="auto"/>
              <w:ind w:left="460"/>
              <w:rPr>
                <w:rFonts w:ascii="Arial" w:hAnsi="Arial" w:cs="Arial"/>
                <w:sz w:val="24"/>
              </w:rPr>
            </w:pPr>
            <w:r w:rsidRPr="00E166DD">
              <w:rPr>
                <w:rFonts w:ascii="Arial" w:hAnsi="Arial" w:cs="Arial"/>
                <w:sz w:val="24"/>
              </w:rPr>
              <w:t>Das Thema eines neu zu erarbeitenden Expertenstandards wird vom Deutschen Netzwerk für Qualität in der Pflege (DNQP) öffentlich ausgeschrieben. Als Fachkraft erfahren Sie das z. B. durch Anzeigen in unseren typischen Fachzeitschriften.</w:t>
            </w:r>
          </w:p>
        </w:tc>
      </w:tr>
      <w:tr w:rsidR="00E166DD" w:rsidRPr="006E6A24" w14:paraId="56647E9B" w14:textId="77777777" w:rsidTr="00E166DD">
        <w:tblPrEx>
          <w:tblCellMar>
            <w:top w:w="0" w:type="dxa"/>
            <w:bottom w:w="0" w:type="dxa"/>
          </w:tblCellMar>
        </w:tblPrEx>
        <w:trPr>
          <w:trHeight w:val="1144"/>
          <w:jc w:val="center"/>
        </w:trPr>
        <w:tc>
          <w:tcPr>
            <w:tcW w:w="8359" w:type="dxa"/>
          </w:tcPr>
          <w:p w14:paraId="429FC7C5" w14:textId="278CBEA9" w:rsidR="00E166DD" w:rsidRPr="00E166DD" w:rsidRDefault="00E166DD" w:rsidP="00E166DD">
            <w:pPr>
              <w:pStyle w:val="Listenabsatz"/>
              <w:numPr>
                <w:ilvl w:val="0"/>
                <w:numId w:val="26"/>
              </w:numPr>
              <w:spacing w:before="120" w:after="120" w:line="276" w:lineRule="auto"/>
              <w:ind w:left="460"/>
              <w:rPr>
                <w:rFonts w:ascii="Arial" w:hAnsi="Arial" w:cs="Arial"/>
                <w:sz w:val="24"/>
              </w:rPr>
            </w:pPr>
            <w:r w:rsidRPr="00E166DD">
              <w:rPr>
                <w:rFonts w:ascii="Arial" w:hAnsi="Arial" w:cs="Arial"/>
                <w:sz w:val="24"/>
              </w:rPr>
              <w:t>Experten, die mit dem Thema vertraut sind, können sich beim DNQP melden. Dort wird dann die endgültige Arbeitsgruppe zusammengestellt.</w:t>
            </w:r>
          </w:p>
          <w:p w14:paraId="125EB578" w14:textId="06BFADC8" w:rsidR="00E166DD" w:rsidRPr="00E166DD" w:rsidRDefault="00E166DD" w:rsidP="00E166DD">
            <w:pPr>
              <w:pStyle w:val="Listenabsatz"/>
              <w:spacing w:before="120" w:after="120" w:line="276" w:lineRule="auto"/>
              <w:ind w:left="460"/>
              <w:rPr>
                <w:rFonts w:ascii="Arial" w:hAnsi="Arial" w:cs="Arial"/>
                <w:sz w:val="24"/>
              </w:rPr>
            </w:pPr>
            <w:r w:rsidRPr="00E166DD">
              <w:rPr>
                <w:rFonts w:ascii="Arial" w:hAnsi="Arial" w:cs="Arial"/>
                <w:sz w:val="24"/>
              </w:rPr>
              <w:t>Mein Tipp: Wenn es einmal ein Thema geben sollte, bei dem Sie sich denken: „Hey, das kenne ich aus dem Effeff, damit beschäftige ich mich doch schon jahrelang!“, bewerben Sie sich. Auch Sie können so ein Experte sein!</w:t>
            </w:r>
          </w:p>
        </w:tc>
      </w:tr>
      <w:tr w:rsidR="00E166DD" w:rsidRPr="006E6A24" w14:paraId="3AC63D8F" w14:textId="77777777" w:rsidTr="00E166DD">
        <w:tblPrEx>
          <w:tblCellMar>
            <w:top w:w="0" w:type="dxa"/>
            <w:bottom w:w="0" w:type="dxa"/>
          </w:tblCellMar>
        </w:tblPrEx>
        <w:trPr>
          <w:trHeight w:val="447"/>
          <w:jc w:val="center"/>
        </w:trPr>
        <w:tc>
          <w:tcPr>
            <w:tcW w:w="8359" w:type="dxa"/>
          </w:tcPr>
          <w:p w14:paraId="5B5DDBCD" w14:textId="69D26360" w:rsidR="00E166DD" w:rsidRPr="00E166DD" w:rsidRDefault="00E166DD" w:rsidP="00E166DD">
            <w:pPr>
              <w:pStyle w:val="Listenabsatz"/>
              <w:numPr>
                <w:ilvl w:val="0"/>
                <w:numId w:val="26"/>
              </w:numPr>
              <w:spacing w:before="120" w:after="120" w:line="276" w:lineRule="auto"/>
              <w:ind w:left="460"/>
              <w:rPr>
                <w:rFonts w:ascii="Arial" w:hAnsi="Arial" w:cs="Arial"/>
                <w:sz w:val="24"/>
              </w:rPr>
            </w:pPr>
            <w:r w:rsidRPr="00E166DD">
              <w:rPr>
                <w:rFonts w:ascii="Arial" w:hAnsi="Arial" w:cs="Arial"/>
                <w:sz w:val="24"/>
              </w:rPr>
              <w:t>Die Arbeitsgruppe recherchiert die vorhandene Forschungsliteratur zum Thema und trägt ihre 1. Ergebnisse zu einem 1. Entwurf zusammen.</w:t>
            </w:r>
          </w:p>
        </w:tc>
      </w:tr>
      <w:tr w:rsidR="00E166DD" w:rsidRPr="006E6A24" w14:paraId="39713819" w14:textId="77777777" w:rsidTr="00E166DD">
        <w:tblPrEx>
          <w:tblCellMar>
            <w:top w:w="0" w:type="dxa"/>
            <w:bottom w:w="0" w:type="dxa"/>
          </w:tblCellMar>
        </w:tblPrEx>
        <w:trPr>
          <w:trHeight w:val="261"/>
          <w:jc w:val="center"/>
        </w:trPr>
        <w:tc>
          <w:tcPr>
            <w:tcW w:w="8359" w:type="dxa"/>
          </w:tcPr>
          <w:p w14:paraId="3F945AEE" w14:textId="3A0833FD" w:rsidR="00E166DD" w:rsidRPr="00E166DD" w:rsidRDefault="00E166DD" w:rsidP="00E166DD">
            <w:pPr>
              <w:pStyle w:val="Listenabsatz"/>
              <w:numPr>
                <w:ilvl w:val="0"/>
                <w:numId w:val="26"/>
              </w:numPr>
              <w:spacing w:before="120" w:after="120" w:line="276" w:lineRule="auto"/>
              <w:ind w:left="460"/>
              <w:rPr>
                <w:rFonts w:ascii="Arial" w:hAnsi="Arial" w:cs="Arial"/>
                <w:sz w:val="24"/>
              </w:rPr>
            </w:pPr>
            <w:r w:rsidRPr="00E166DD">
              <w:rPr>
                <w:rFonts w:ascii="Arial" w:hAnsi="Arial" w:cs="Arial"/>
                <w:sz w:val="24"/>
              </w:rPr>
              <w:t>Der Entwurf wird mit weiteren Experten in einer Konsensus-Konferenz diskutiert und ergänzt.</w:t>
            </w:r>
          </w:p>
        </w:tc>
      </w:tr>
      <w:tr w:rsidR="00E166DD" w:rsidRPr="006E6A24" w14:paraId="1241A8D5" w14:textId="77777777" w:rsidTr="00E166DD">
        <w:tblPrEx>
          <w:tblCellMar>
            <w:top w:w="0" w:type="dxa"/>
            <w:bottom w:w="0" w:type="dxa"/>
          </w:tblCellMar>
        </w:tblPrEx>
        <w:trPr>
          <w:trHeight w:val="269"/>
          <w:jc w:val="center"/>
        </w:trPr>
        <w:tc>
          <w:tcPr>
            <w:tcW w:w="8359" w:type="dxa"/>
          </w:tcPr>
          <w:p w14:paraId="4B2980DE" w14:textId="5094AB15" w:rsidR="00E166DD" w:rsidRPr="00E166DD" w:rsidRDefault="00E166DD" w:rsidP="00E166DD">
            <w:pPr>
              <w:pStyle w:val="Listenabsatz"/>
              <w:numPr>
                <w:ilvl w:val="0"/>
                <w:numId w:val="26"/>
              </w:numPr>
              <w:spacing w:before="120" w:after="120" w:line="276" w:lineRule="auto"/>
              <w:ind w:left="460"/>
              <w:rPr>
                <w:rFonts w:ascii="Arial" w:hAnsi="Arial" w:cs="Arial"/>
                <w:sz w:val="24"/>
              </w:rPr>
            </w:pPr>
            <w:r w:rsidRPr="00E166DD">
              <w:rPr>
                <w:rFonts w:ascii="Arial" w:hAnsi="Arial" w:cs="Arial"/>
                <w:sz w:val="24"/>
              </w:rPr>
              <w:t xml:space="preserve">Die Implementierung in der Praxis findet statt: Pflegeeinrichtungen und ambulante Dienste können sich bewerben und die Umsetzung im Pflegealltag testen. Diese Testphase wird </w:t>
            </w:r>
            <w:proofErr w:type="gramStart"/>
            <w:r w:rsidRPr="00E166DD">
              <w:rPr>
                <w:rFonts w:ascii="Arial" w:hAnsi="Arial" w:cs="Arial"/>
                <w:sz w:val="24"/>
              </w:rPr>
              <w:t>natürlich vom</w:t>
            </w:r>
            <w:proofErr w:type="gramEnd"/>
            <w:r w:rsidRPr="00E166DD">
              <w:rPr>
                <w:rFonts w:ascii="Arial" w:hAnsi="Arial" w:cs="Arial"/>
                <w:sz w:val="24"/>
              </w:rPr>
              <w:t xml:space="preserve"> DNQP begleitet.</w:t>
            </w:r>
          </w:p>
        </w:tc>
      </w:tr>
      <w:tr w:rsidR="00E166DD" w:rsidRPr="006E6A24" w14:paraId="0A04856A" w14:textId="77777777" w:rsidTr="00E166DD">
        <w:tblPrEx>
          <w:tblCellMar>
            <w:top w:w="0" w:type="dxa"/>
            <w:bottom w:w="0" w:type="dxa"/>
          </w:tblCellMar>
        </w:tblPrEx>
        <w:trPr>
          <w:trHeight w:val="269"/>
          <w:jc w:val="center"/>
        </w:trPr>
        <w:tc>
          <w:tcPr>
            <w:tcW w:w="8359" w:type="dxa"/>
          </w:tcPr>
          <w:p w14:paraId="71D4C132" w14:textId="2E54BCCF" w:rsidR="00E166DD" w:rsidRPr="00E166DD" w:rsidRDefault="00E166DD" w:rsidP="00E166DD">
            <w:pPr>
              <w:pStyle w:val="Listenabsatz"/>
              <w:numPr>
                <w:ilvl w:val="0"/>
                <w:numId w:val="26"/>
              </w:numPr>
              <w:spacing w:before="120" w:after="120" w:line="276" w:lineRule="auto"/>
              <w:ind w:left="460"/>
              <w:rPr>
                <w:rFonts w:ascii="Arial" w:hAnsi="Arial" w:cs="Arial"/>
                <w:sz w:val="24"/>
              </w:rPr>
            </w:pPr>
            <w:r w:rsidRPr="00E166DD">
              <w:rPr>
                <w:rFonts w:ascii="Arial" w:hAnsi="Arial" w:cs="Arial"/>
                <w:sz w:val="24"/>
              </w:rPr>
              <w:t>Der Expertenstandard wird nach den Erkenntnissen aus der Praxisphase abermals evaluiert.</w:t>
            </w:r>
          </w:p>
        </w:tc>
      </w:tr>
      <w:tr w:rsidR="00E166DD" w:rsidRPr="006E6A24" w14:paraId="78EF0C8E" w14:textId="77777777" w:rsidTr="00E166DD">
        <w:tblPrEx>
          <w:tblCellMar>
            <w:top w:w="0" w:type="dxa"/>
            <w:bottom w:w="0" w:type="dxa"/>
          </w:tblCellMar>
        </w:tblPrEx>
        <w:trPr>
          <w:trHeight w:val="269"/>
          <w:jc w:val="center"/>
        </w:trPr>
        <w:tc>
          <w:tcPr>
            <w:tcW w:w="8359" w:type="dxa"/>
          </w:tcPr>
          <w:p w14:paraId="6D0F2443" w14:textId="1650C5E1" w:rsidR="00E166DD" w:rsidRPr="00E166DD" w:rsidRDefault="00E166DD" w:rsidP="00E166DD">
            <w:pPr>
              <w:pStyle w:val="Listenabsatz"/>
              <w:numPr>
                <w:ilvl w:val="0"/>
                <w:numId w:val="26"/>
              </w:numPr>
              <w:spacing w:before="120" w:after="120" w:line="276" w:lineRule="auto"/>
              <w:ind w:left="460"/>
              <w:rPr>
                <w:rFonts w:ascii="Arial" w:hAnsi="Arial" w:cs="Arial"/>
                <w:sz w:val="24"/>
              </w:rPr>
            </w:pPr>
            <w:r w:rsidRPr="00E166DD">
              <w:rPr>
                <w:rFonts w:ascii="Arial" w:hAnsi="Arial" w:cs="Arial"/>
                <w:sz w:val="24"/>
              </w:rPr>
              <w:t>Der Expertenstandard wird final verabschiedet.</w:t>
            </w:r>
          </w:p>
        </w:tc>
      </w:tr>
      <w:tr w:rsidR="00E166DD" w:rsidRPr="006E6A24" w14:paraId="5078EA6A" w14:textId="77777777" w:rsidTr="00E166DD">
        <w:tblPrEx>
          <w:tblCellMar>
            <w:top w:w="0" w:type="dxa"/>
            <w:bottom w:w="0" w:type="dxa"/>
          </w:tblCellMar>
        </w:tblPrEx>
        <w:trPr>
          <w:trHeight w:val="269"/>
          <w:jc w:val="center"/>
        </w:trPr>
        <w:tc>
          <w:tcPr>
            <w:tcW w:w="8359" w:type="dxa"/>
          </w:tcPr>
          <w:p w14:paraId="0022C1FE" w14:textId="001355D9" w:rsidR="00E166DD" w:rsidRPr="00E166DD" w:rsidRDefault="00E166DD" w:rsidP="00E166DD">
            <w:pPr>
              <w:pStyle w:val="Listenabsatz"/>
              <w:numPr>
                <w:ilvl w:val="0"/>
                <w:numId w:val="26"/>
              </w:numPr>
              <w:spacing w:before="120" w:after="120" w:line="276" w:lineRule="auto"/>
              <w:ind w:left="460"/>
              <w:rPr>
                <w:rFonts w:ascii="Arial" w:hAnsi="Arial" w:cs="Arial"/>
                <w:sz w:val="24"/>
              </w:rPr>
            </w:pPr>
            <w:r w:rsidRPr="00E166DD">
              <w:rPr>
                <w:rFonts w:ascii="Arial" w:hAnsi="Arial" w:cs="Arial"/>
                <w:sz w:val="24"/>
              </w:rPr>
              <w:t>Der Expertenstandard wird im Bundesanzeiger veröffentlicht und gilt damit verbindlich für alle Institutionen im Gesundheitswesen.</w:t>
            </w:r>
          </w:p>
        </w:tc>
      </w:tr>
    </w:tbl>
    <w:p w14:paraId="53758482" w14:textId="77777777" w:rsidR="006E6A24" w:rsidRDefault="006E6A24" w:rsidP="0030787A">
      <w:pPr>
        <w:spacing w:before="120" w:after="120"/>
        <w:rPr>
          <w:rFonts w:ascii="Arial" w:hAnsi="Arial" w:cs="Arial"/>
          <w:bCs/>
          <w:sz w:val="24"/>
          <w:szCs w:val="24"/>
        </w:rPr>
      </w:pPr>
    </w:p>
    <w:p w14:paraId="69187229" w14:textId="77777777" w:rsidR="00E166DD" w:rsidRPr="0030787A" w:rsidRDefault="00E166DD" w:rsidP="0030787A">
      <w:pPr>
        <w:spacing w:before="120" w:after="120"/>
        <w:rPr>
          <w:rFonts w:ascii="Arial" w:hAnsi="Arial" w:cs="Arial"/>
          <w:bCs/>
          <w:sz w:val="24"/>
          <w:szCs w:val="24"/>
        </w:rPr>
      </w:pPr>
    </w:p>
    <w:sectPr w:rsidR="00E166DD" w:rsidRPr="0030787A" w:rsidSect="002D4894">
      <w:headerReference w:type="default" r:id="rId9"/>
      <w:pgSz w:w="11906" w:h="16838" w:code="9"/>
      <w:pgMar w:top="-567"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altName w:val="Montserrat SemiBold"/>
    <w:charset w:val="00"/>
    <w:family w:val="auto"/>
    <w:pitch w:val="variable"/>
    <w:sig w:usb0="2000020F" w:usb1="00000003" w:usb2="00000000" w:usb3="00000000" w:csb0="00000197"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67909E3B" w:rsidR="007A7CA7" w:rsidRPr="007A7CA7" w:rsidRDefault="00D242BF" w:rsidP="005E1850">
          <w:pPr>
            <w:pStyle w:val="Kopfzeile"/>
            <w:jc w:val="center"/>
            <w:rPr>
              <w:b/>
              <w:color w:val="FFFFFF"/>
            </w:rPr>
          </w:pPr>
          <w:r>
            <w:rPr>
              <w:b/>
              <w:color w:val="FFFFFF"/>
              <w:sz w:val="24"/>
            </w:rPr>
            <w:t xml:space="preserve">Ausgabe </w:t>
          </w:r>
          <w:r w:rsidR="000A33B3">
            <w:rPr>
              <w:b/>
              <w:color w:val="FFFFFF"/>
              <w:sz w:val="24"/>
            </w:rPr>
            <w:t>01</w:t>
          </w:r>
          <w:r w:rsidR="00826760">
            <w:rPr>
              <w:b/>
              <w:color w:val="FFFFFF"/>
              <w:sz w:val="24"/>
            </w:rPr>
            <w:t xml:space="preserve"> - 20</w:t>
          </w:r>
          <w:r w:rsidR="00017AB1">
            <w:rPr>
              <w:b/>
              <w:color w:val="FFFFFF"/>
              <w:sz w:val="24"/>
            </w:rPr>
            <w:t>2</w:t>
          </w:r>
          <w:r w:rsidR="000A33B3">
            <w:rPr>
              <w:b/>
              <w:color w:val="FFFFFF"/>
              <w:sz w:val="24"/>
            </w:rPr>
            <w:t>4</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502FA8"/>
    <w:multiLevelType w:val="hybridMultilevel"/>
    <w:tmpl w:val="EA00B3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5D3399"/>
    <w:multiLevelType w:val="hybridMultilevel"/>
    <w:tmpl w:val="71764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8C3DAD"/>
    <w:multiLevelType w:val="hybridMultilevel"/>
    <w:tmpl w:val="C3EE1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4E397C"/>
    <w:multiLevelType w:val="hybridMultilevel"/>
    <w:tmpl w:val="EA00B3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7E148E"/>
    <w:multiLevelType w:val="hybridMultilevel"/>
    <w:tmpl w:val="60CCC6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1"/>
  </w:num>
  <w:num w:numId="2" w16cid:durableId="110518625">
    <w:abstractNumId w:val="23"/>
  </w:num>
  <w:num w:numId="3" w16cid:durableId="1023476870">
    <w:abstractNumId w:val="26"/>
  </w:num>
  <w:num w:numId="4" w16cid:durableId="1632981953">
    <w:abstractNumId w:val="14"/>
  </w:num>
  <w:num w:numId="5" w16cid:durableId="334385539">
    <w:abstractNumId w:val="7"/>
  </w:num>
  <w:num w:numId="6" w16cid:durableId="292560944">
    <w:abstractNumId w:val="9"/>
  </w:num>
  <w:num w:numId="7" w16cid:durableId="617414864">
    <w:abstractNumId w:val="16"/>
  </w:num>
  <w:num w:numId="8" w16cid:durableId="1349798627">
    <w:abstractNumId w:val="15"/>
  </w:num>
  <w:num w:numId="9" w16cid:durableId="425809380">
    <w:abstractNumId w:val="10"/>
  </w:num>
  <w:num w:numId="10" w16cid:durableId="2045593739">
    <w:abstractNumId w:val="5"/>
  </w:num>
  <w:num w:numId="11" w16cid:durableId="2030179877">
    <w:abstractNumId w:val="24"/>
  </w:num>
  <w:num w:numId="12" w16cid:durableId="808983353">
    <w:abstractNumId w:val="18"/>
  </w:num>
  <w:num w:numId="13" w16cid:durableId="1540699642">
    <w:abstractNumId w:val="19"/>
  </w:num>
  <w:num w:numId="14" w16cid:durableId="1014500060">
    <w:abstractNumId w:val="17"/>
  </w:num>
  <w:num w:numId="15" w16cid:durableId="473067152">
    <w:abstractNumId w:val="20"/>
  </w:num>
  <w:num w:numId="16" w16cid:durableId="516389024">
    <w:abstractNumId w:val="21"/>
  </w:num>
  <w:num w:numId="17" w16cid:durableId="1666322767">
    <w:abstractNumId w:val="22"/>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686449254">
    <w:abstractNumId w:val="8"/>
  </w:num>
  <w:num w:numId="24" w16cid:durableId="2113813642">
    <w:abstractNumId w:val="12"/>
  </w:num>
  <w:num w:numId="25" w16cid:durableId="1345280982">
    <w:abstractNumId w:val="25"/>
  </w:num>
  <w:num w:numId="26" w16cid:durableId="1170415433">
    <w:abstractNumId w:val="6"/>
  </w:num>
  <w:num w:numId="27" w16cid:durableId="95749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33080"/>
    <w:rsid w:val="00055771"/>
    <w:rsid w:val="00070D06"/>
    <w:rsid w:val="000A33B3"/>
    <w:rsid w:val="000B50CC"/>
    <w:rsid w:val="000C6A2D"/>
    <w:rsid w:val="000E54B5"/>
    <w:rsid w:val="0015409B"/>
    <w:rsid w:val="00197AF9"/>
    <w:rsid w:val="001B429B"/>
    <w:rsid w:val="00205D0C"/>
    <w:rsid w:val="0027096C"/>
    <w:rsid w:val="002766CF"/>
    <w:rsid w:val="0028515F"/>
    <w:rsid w:val="002A5D13"/>
    <w:rsid w:val="002B029B"/>
    <w:rsid w:val="002B4419"/>
    <w:rsid w:val="002D45E4"/>
    <w:rsid w:val="002D4894"/>
    <w:rsid w:val="002E4378"/>
    <w:rsid w:val="002F7B4F"/>
    <w:rsid w:val="0030787A"/>
    <w:rsid w:val="003676E3"/>
    <w:rsid w:val="00380EF0"/>
    <w:rsid w:val="003A1644"/>
    <w:rsid w:val="003E3400"/>
    <w:rsid w:val="0042075B"/>
    <w:rsid w:val="00433F51"/>
    <w:rsid w:val="004639C0"/>
    <w:rsid w:val="00475E98"/>
    <w:rsid w:val="004955F6"/>
    <w:rsid w:val="004A47F9"/>
    <w:rsid w:val="004C2396"/>
    <w:rsid w:val="004E6AAB"/>
    <w:rsid w:val="0050689E"/>
    <w:rsid w:val="00547B8D"/>
    <w:rsid w:val="00551B88"/>
    <w:rsid w:val="0056407D"/>
    <w:rsid w:val="00587D31"/>
    <w:rsid w:val="005E1850"/>
    <w:rsid w:val="00614D0A"/>
    <w:rsid w:val="00653E72"/>
    <w:rsid w:val="00661981"/>
    <w:rsid w:val="006A5CFE"/>
    <w:rsid w:val="006E18EF"/>
    <w:rsid w:val="006E6A24"/>
    <w:rsid w:val="0077330A"/>
    <w:rsid w:val="00782522"/>
    <w:rsid w:val="007A7CA7"/>
    <w:rsid w:val="007B0290"/>
    <w:rsid w:val="007C0AE5"/>
    <w:rsid w:val="007E1A2E"/>
    <w:rsid w:val="00826760"/>
    <w:rsid w:val="00841FA8"/>
    <w:rsid w:val="00852BFB"/>
    <w:rsid w:val="008633AC"/>
    <w:rsid w:val="00887070"/>
    <w:rsid w:val="008B1F83"/>
    <w:rsid w:val="008E62B1"/>
    <w:rsid w:val="00937B0B"/>
    <w:rsid w:val="009433D9"/>
    <w:rsid w:val="00983536"/>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73E1A"/>
    <w:rsid w:val="00CA1A10"/>
    <w:rsid w:val="00CC38C8"/>
    <w:rsid w:val="00D10D40"/>
    <w:rsid w:val="00D242BF"/>
    <w:rsid w:val="00D86187"/>
    <w:rsid w:val="00DB32C7"/>
    <w:rsid w:val="00DD54CC"/>
    <w:rsid w:val="00E166DD"/>
    <w:rsid w:val="00E17069"/>
    <w:rsid w:val="00E2265E"/>
    <w:rsid w:val="00EA5F7F"/>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paragraph" w:customStyle="1" w:styleId="Default">
    <w:name w:val="Default"/>
    <w:rsid w:val="0030787A"/>
    <w:pPr>
      <w:autoSpaceDE w:val="0"/>
      <w:autoSpaceDN w:val="0"/>
      <w:adjustRightInd w:val="0"/>
    </w:pPr>
    <w:rPr>
      <w:rFonts w:ascii="Montserrat SemiBold" w:hAnsi="Montserrat SemiBold" w:cs="Montserrat SemiBold"/>
      <w:color w:val="000000"/>
      <w:sz w:val="24"/>
      <w:szCs w:val="24"/>
    </w:rPr>
  </w:style>
  <w:style w:type="paragraph" w:customStyle="1" w:styleId="Pa14">
    <w:name w:val="Pa14"/>
    <w:basedOn w:val="Default"/>
    <w:next w:val="Default"/>
    <w:uiPriority w:val="99"/>
    <w:rsid w:val="0030787A"/>
    <w:pPr>
      <w:spacing w:line="181" w:lineRule="atLeast"/>
    </w:pPr>
    <w:rPr>
      <w:rFonts w:cs="Times New Roman"/>
      <w:color w:val="auto"/>
    </w:rPr>
  </w:style>
  <w:style w:type="character" w:customStyle="1" w:styleId="A8">
    <w:name w:val="A8"/>
    <w:uiPriority w:val="99"/>
    <w:rsid w:val="0030787A"/>
    <w:rPr>
      <w:rFonts w:ascii="Wingdings" w:hAnsi="Wingdings" w:cs="Wingdings"/>
      <w:color w:val="183864"/>
      <w:sz w:val="18"/>
      <w:szCs w:val="18"/>
    </w:rPr>
  </w:style>
  <w:style w:type="paragraph" w:customStyle="1" w:styleId="Pa26">
    <w:name w:val="Pa26"/>
    <w:basedOn w:val="Default"/>
    <w:next w:val="Default"/>
    <w:uiPriority w:val="99"/>
    <w:rsid w:val="00055771"/>
    <w:pPr>
      <w:spacing w:line="221" w:lineRule="atLeast"/>
    </w:pPr>
    <w:rPr>
      <w:rFonts w:cs="Times New Roman"/>
      <w:color w:val="auto"/>
    </w:rPr>
  </w:style>
  <w:style w:type="paragraph" w:customStyle="1" w:styleId="Pa9">
    <w:name w:val="Pa9"/>
    <w:basedOn w:val="Default"/>
    <w:next w:val="Default"/>
    <w:uiPriority w:val="99"/>
    <w:rsid w:val="00055771"/>
    <w:pPr>
      <w:spacing w:line="181" w:lineRule="atLeast"/>
    </w:pPr>
    <w:rPr>
      <w:rFonts w:cs="Times New Roman"/>
      <w:color w:val="auto"/>
    </w:rPr>
  </w:style>
  <w:style w:type="paragraph" w:customStyle="1" w:styleId="Pa4">
    <w:name w:val="Pa4"/>
    <w:basedOn w:val="Default"/>
    <w:next w:val="Default"/>
    <w:uiPriority w:val="99"/>
    <w:rsid w:val="002D4894"/>
    <w:pPr>
      <w:spacing w:line="181" w:lineRule="atLeast"/>
    </w:pPr>
    <w:rPr>
      <w:rFonts w:cs="Times New Roman"/>
      <w:color w:val="auto"/>
    </w:rPr>
  </w:style>
  <w:style w:type="paragraph" w:customStyle="1" w:styleId="Pa21">
    <w:name w:val="Pa21"/>
    <w:basedOn w:val="Default"/>
    <w:next w:val="Default"/>
    <w:uiPriority w:val="99"/>
    <w:rsid w:val="00E166DD"/>
    <w:pPr>
      <w:spacing w:line="201" w:lineRule="atLeast"/>
    </w:pPr>
    <w:rPr>
      <w:rFonts w:ascii="Montserrat" w:hAnsi="Montserra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22FEC6C5-45BC-4787-899F-76CFA945A25B}"/>
</file>

<file path=customXml/itemProps4.xml><?xml version="1.0" encoding="utf-8"?>
<ds:datastoreItem xmlns:ds="http://schemas.openxmlformats.org/officeDocument/2006/customXml" ds:itemID="{04AAF83B-19E6-42E2-954B-D8962F100310}"/>
</file>

<file path=customXml/itemProps5.xml><?xml version="1.0" encoding="utf-8"?>
<ds:datastoreItem xmlns:ds="http://schemas.openxmlformats.org/officeDocument/2006/customXml" ds:itemID="{5D2E7510-1DFE-44CE-9ABA-BDD3BD87D797}"/>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2024-01-01T21:28:00Z</dcterms:created>
  <dcterms:modified xsi:type="dcterms:W3CDTF">2024-01-01T21:28:00Z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