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9454" w14:textId="4FD4576C" w:rsidR="00CB488F" w:rsidRDefault="00CB488F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lenraster"/>
        <w:tblW w:w="96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58"/>
        <w:gridCol w:w="1765"/>
        <w:gridCol w:w="2126"/>
        <w:gridCol w:w="3685"/>
      </w:tblGrid>
      <w:tr w:rsidR="00CB488F" w:rsidRPr="00CB488F" w14:paraId="0F03622B" w14:textId="77777777" w:rsidTr="00CB488F">
        <w:trPr>
          <w:jc w:val="center"/>
        </w:trPr>
        <w:tc>
          <w:tcPr>
            <w:tcW w:w="9634" w:type="dxa"/>
            <w:gridSpan w:val="4"/>
            <w:shd w:val="clear" w:color="auto" w:fill="92D050"/>
          </w:tcPr>
          <w:p w14:paraId="1DBA4C07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B488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Einschätzungsskalen für chronische Wunden</w:t>
            </w:r>
          </w:p>
        </w:tc>
      </w:tr>
      <w:tr w:rsidR="00CB488F" w:rsidRPr="00CB488F" w14:paraId="3C333FF6" w14:textId="77777777" w:rsidTr="00CB488F">
        <w:trPr>
          <w:jc w:val="center"/>
        </w:trPr>
        <w:tc>
          <w:tcPr>
            <w:tcW w:w="2058" w:type="dxa"/>
            <w:shd w:val="clear" w:color="auto" w:fill="D6E3BC"/>
          </w:tcPr>
          <w:p w14:paraId="0FD9B2E3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Name der Skala</w:t>
            </w:r>
          </w:p>
        </w:tc>
        <w:tc>
          <w:tcPr>
            <w:tcW w:w="1765" w:type="dxa"/>
            <w:shd w:val="clear" w:color="auto" w:fill="D6E3BC"/>
          </w:tcPr>
          <w:p w14:paraId="2DB068D6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Wird benutzt bei</w:t>
            </w:r>
          </w:p>
        </w:tc>
        <w:tc>
          <w:tcPr>
            <w:tcW w:w="2126" w:type="dxa"/>
            <w:shd w:val="clear" w:color="auto" w:fill="D6E3BC"/>
          </w:tcPr>
          <w:p w14:paraId="63B2A053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Einteilung in</w:t>
            </w:r>
          </w:p>
        </w:tc>
        <w:tc>
          <w:tcPr>
            <w:tcW w:w="3685" w:type="dxa"/>
            <w:shd w:val="clear" w:color="auto" w:fill="D6E3BC"/>
          </w:tcPr>
          <w:p w14:paraId="56BD6E09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Abstufungen</w:t>
            </w:r>
          </w:p>
        </w:tc>
      </w:tr>
      <w:tr w:rsidR="00CB488F" w:rsidRPr="00CB488F" w14:paraId="3CD2D68D" w14:textId="77777777" w:rsidTr="00CB488F">
        <w:trPr>
          <w:jc w:val="center"/>
        </w:trPr>
        <w:tc>
          <w:tcPr>
            <w:tcW w:w="2058" w:type="dxa"/>
          </w:tcPr>
          <w:p w14:paraId="1529A167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European Pressure </w:t>
            </w:r>
          </w:p>
          <w:p w14:paraId="7921A882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Ulcer Advisitory </w:t>
            </w:r>
          </w:p>
          <w:p w14:paraId="1B4A76FE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Panel</w:t>
            </w:r>
          </w:p>
        </w:tc>
        <w:tc>
          <w:tcPr>
            <w:tcW w:w="1765" w:type="dxa"/>
          </w:tcPr>
          <w:p w14:paraId="12C3BA2E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Dekubitus</w:t>
            </w:r>
          </w:p>
        </w:tc>
        <w:tc>
          <w:tcPr>
            <w:tcW w:w="2126" w:type="dxa"/>
          </w:tcPr>
          <w:p w14:paraId="0ECB8688" w14:textId="47377DDA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Stadien/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Kategorien I–IV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und 2 Einschätzungen, die keiner Kategorie zuzuordnen sind</w:t>
            </w:r>
          </w:p>
        </w:tc>
        <w:tc>
          <w:tcPr>
            <w:tcW w:w="3685" w:type="dxa"/>
          </w:tcPr>
          <w:p w14:paraId="30F4BE9D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oberflächliche Hautschädigung bis hin zu tiefer, bis auf den Knochen reichender Wunde </w:t>
            </w:r>
          </w:p>
          <w:p w14:paraId="38415125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Nekrose, die keinen Rückschluss auf die Wunde zulässt, und Gewebeschädigung unbekannter Tiefe</w:t>
            </w:r>
          </w:p>
        </w:tc>
      </w:tr>
      <w:tr w:rsidR="00CB488F" w:rsidRPr="00CB488F" w14:paraId="55DED4AA" w14:textId="77777777" w:rsidTr="00CB488F">
        <w:trPr>
          <w:jc w:val="center"/>
        </w:trPr>
        <w:tc>
          <w:tcPr>
            <w:tcW w:w="2058" w:type="dxa"/>
          </w:tcPr>
          <w:p w14:paraId="1600632D" w14:textId="6D6F1F3F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Stadieneinteilung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nach Widmer</w:t>
            </w:r>
          </w:p>
        </w:tc>
        <w:tc>
          <w:tcPr>
            <w:tcW w:w="1765" w:type="dxa"/>
          </w:tcPr>
          <w:p w14:paraId="27E972B7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Venöser </w:t>
            </w:r>
          </w:p>
          <w:p w14:paraId="41E2A741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Ulcus cruris</w:t>
            </w:r>
          </w:p>
        </w:tc>
        <w:tc>
          <w:tcPr>
            <w:tcW w:w="2126" w:type="dxa"/>
          </w:tcPr>
          <w:p w14:paraId="2F373B1C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Grad 1–3</w:t>
            </w:r>
          </w:p>
        </w:tc>
        <w:tc>
          <w:tcPr>
            <w:tcW w:w="3685" w:type="dxa"/>
          </w:tcPr>
          <w:p w14:paraId="74E37A7C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von Zeichnung der Haut über Veränderungen bis hin zum Ulcus</w:t>
            </w:r>
          </w:p>
        </w:tc>
      </w:tr>
      <w:tr w:rsidR="00CB488F" w:rsidRPr="00CB488F" w14:paraId="5B07BA18" w14:textId="77777777" w:rsidTr="00CB488F">
        <w:trPr>
          <w:jc w:val="center"/>
        </w:trPr>
        <w:tc>
          <w:tcPr>
            <w:tcW w:w="2058" w:type="dxa"/>
          </w:tcPr>
          <w:p w14:paraId="60917411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Stadieneinteilung nach Fontaine</w:t>
            </w:r>
          </w:p>
        </w:tc>
        <w:tc>
          <w:tcPr>
            <w:tcW w:w="1765" w:type="dxa"/>
          </w:tcPr>
          <w:p w14:paraId="471EA91C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Arterieller </w:t>
            </w:r>
          </w:p>
          <w:p w14:paraId="7E4A7774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Ulcus cruris</w:t>
            </w:r>
          </w:p>
        </w:tc>
        <w:tc>
          <w:tcPr>
            <w:tcW w:w="2126" w:type="dxa"/>
          </w:tcPr>
          <w:p w14:paraId="09D586A5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Stadium I–IV</w:t>
            </w:r>
          </w:p>
        </w:tc>
        <w:tc>
          <w:tcPr>
            <w:tcW w:w="3685" w:type="dxa"/>
          </w:tcPr>
          <w:p w14:paraId="5F9B11D3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Einteilung nach Beschwerden bis hin zum Ruheschmerz und schließlich Absterben des Gewebes</w:t>
            </w:r>
          </w:p>
        </w:tc>
      </w:tr>
      <w:tr w:rsidR="00CB488F" w:rsidRPr="00CB488F" w14:paraId="5EB7314A" w14:textId="77777777" w:rsidTr="00CB488F">
        <w:trPr>
          <w:jc w:val="center"/>
        </w:trPr>
        <w:tc>
          <w:tcPr>
            <w:tcW w:w="2058" w:type="dxa"/>
          </w:tcPr>
          <w:p w14:paraId="527B20E1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Wagner-Armstrong-Klassifikation</w:t>
            </w:r>
          </w:p>
          <w:p w14:paraId="70720ED2" w14:textId="038CD026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(Kombination von 2 Skalen)</w:t>
            </w:r>
          </w:p>
        </w:tc>
        <w:tc>
          <w:tcPr>
            <w:tcW w:w="1765" w:type="dxa"/>
          </w:tcPr>
          <w:p w14:paraId="62AF7709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Diabetischer </w:t>
            </w:r>
          </w:p>
          <w:p w14:paraId="00769214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Fußulcus</w:t>
            </w:r>
            <w:proofErr w:type="spellEnd"/>
          </w:p>
        </w:tc>
        <w:tc>
          <w:tcPr>
            <w:tcW w:w="2126" w:type="dxa"/>
          </w:tcPr>
          <w:p w14:paraId="5FCEBBC4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Wagner-Grad 0–5</w:t>
            </w:r>
          </w:p>
          <w:p w14:paraId="19063861" w14:textId="54514118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Armstrong: Schweregrad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einteilu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g A–D</w:t>
            </w:r>
          </w:p>
        </w:tc>
        <w:tc>
          <w:tcPr>
            <w:tcW w:w="3685" w:type="dxa"/>
          </w:tcPr>
          <w:p w14:paraId="1EADAEF1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Grade beginnen bei einer oberflächlichen Läsion bis hin zu einer Nekrose des gesamten Fußes;</w:t>
            </w:r>
          </w:p>
          <w:p w14:paraId="081D14E4" w14:textId="77777777" w:rsidR="00CB488F" w:rsidRPr="00CB488F" w:rsidRDefault="00CB488F" w:rsidP="00CB4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488F">
              <w:rPr>
                <w:rFonts w:ascii="Arial" w:hAnsi="Arial" w:cs="Arial"/>
                <w:color w:val="000000" w:themeColor="text1"/>
                <w:sz w:val="24"/>
                <w:szCs w:val="24"/>
              </w:rPr>
              <w:t>Schweregradeinteilung: mit Durchblutungsstörung, mit Infektion oder mit beidem</w:t>
            </w:r>
          </w:p>
        </w:tc>
      </w:tr>
    </w:tbl>
    <w:p w14:paraId="202A9C48" w14:textId="77777777" w:rsidR="00CB488F" w:rsidRPr="006F54CA" w:rsidRDefault="00CB488F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sectPr w:rsidR="00CB488F" w:rsidRPr="006F54CA" w:rsidSect="00B7183C">
      <w:headerReference w:type="default" r:id="rId9"/>
      <w:pgSz w:w="11906" w:h="16838" w:code="9"/>
      <w:pgMar w:top="-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033C31A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7D69">
            <w:rPr>
              <w:b/>
              <w:color w:val="FFFFFF"/>
              <w:sz w:val="24"/>
            </w:rPr>
            <w:t>0</w:t>
          </w:r>
          <w:r w:rsidR="00B7183C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D17D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21C6E"/>
    <w:multiLevelType w:val="hybridMultilevel"/>
    <w:tmpl w:val="6FE07208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B5CE7"/>
    <w:multiLevelType w:val="hybridMultilevel"/>
    <w:tmpl w:val="284A0B94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6C58"/>
    <w:multiLevelType w:val="hybridMultilevel"/>
    <w:tmpl w:val="8836FBEE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4495F"/>
    <w:multiLevelType w:val="hybridMultilevel"/>
    <w:tmpl w:val="0928C6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B108BD"/>
    <w:multiLevelType w:val="hybridMultilevel"/>
    <w:tmpl w:val="5C022910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A1E58"/>
    <w:multiLevelType w:val="hybridMultilevel"/>
    <w:tmpl w:val="BB80ACBA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843E2"/>
    <w:multiLevelType w:val="hybridMultilevel"/>
    <w:tmpl w:val="0C543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2056"/>
    <w:multiLevelType w:val="hybridMultilevel"/>
    <w:tmpl w:val="74BA7882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971BF"/>
    <w:multiLevelType w:val="hybridMultilevel"/>
    <w:tmpl w:val="E2C64C48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C3AAF"/>
    <w:multiLevelType w:val="hybridMultilevel"/>
    <w:tmpl w:val="24BCC8EA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50C3"/>
    <w:multiLevelType w:val="hybridMultilevel"/>
    <w:tmpl w:val="28B02C0E"/>
    <w:lvl w:ilvl="0" w:tplc="04070001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0728A"/>
    <w:multiLevelType w:val="hybridMultilevel"/>
    <w:tmpl w:val="E74CE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87C6A"/>
    <w:multiLevelType w:val="hybridMultilevel"/>
    <w:tmpl w:val="765AC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93F7F"/>
    <w:multiLevelType w:val="hybridMultilevel"/>
    <w:tmpl w:val="108ACEDC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2752"/>
    <w:multiLevelType w:val="hybridMultilevel"/>
    <w:tmpl w:val="CC8A6BF8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F4EBC"/>
    <w:multiLevelType w:val="hybridMultilevel"/>
    <w:tmpl w:val="D4CE83BE"/>
    <w:lvl w:ilvl="0" w:tplc="FD788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A6F"/>
    <w:multiLevelType w:val="hybridMultilevel"/>
    <w:tmpl w:val="571C5EEA"/>
    <w:lvl w:ilvl="0" w:tplc="F7D2F0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F7F52"/>
    <w:multiLevelType w:val="hybridMultilevel"/>
    <w:tmpl w:val="120C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40C44"/>
    <w:multiLevelType w:val="hybridMultilevel"/>
    <w:tmpl w:val="77743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421A5E"/>
    <w:multiLevelType w:val="hybridMultilevel"/>
    <w:tmpl w:val="8104EA3E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664DB"/>
    <w:multiLevelType w:val="hybridMultilevel"/>
    <w:tmpl w:val="0024A274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3B7C4D"/>
    <w:multiLevelType w:val="hybridMultilevel"/>
    <w:tmpl w:val="F624733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B9546A"/>
    <w:multiLevelType w:val="hybridMultilevel"/>
    <w:tmpl w:val="26389C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BA33F7"/>
    <w:multiLevelType w:val="hybridMultilevel"/>
    <w:tmpl w:val="81E0038E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74E54"/>
    <w:multiLevelType w:val="hybridMultilevel"/>
    <w:tmpl w:val="6FC09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4614B"/>
    <w:multiLevelType w:val="hybridMultilevel"/>
    <w:tmpl w:val="9D08DEC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21EDD"/>
    <w:multiLevelType w:val="hybridMultilevel"/>
    <w:tmpl w:val="7C6A9492"/>
    <w:lvl w:ilvl="0" w:tplc="0D18D040">
      <w:start w:val="1"/>
      <w:numFmt w:val="bullet"/>
      <w:suff w:val="space"/>
      <w:lvlText w:val=""/>
      <w:lvlJc w:val="left"/>
      <w:pPr>
        <w:ind w:left="170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823FA"/>
    <w:multiLevelType w:val="hybridMultilevel"/>
    <w:tmpl w:val="B83A2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18078">
    <w:abstractNumId w:val="24"/>
  </w:num>
  <w:num w:numId="2" w16cid:durableId="320081329">
    <w:abstractNumId w:val="38"/>
  </w:num>
  <w:num w:numId="3" w16cid:durableId="572620612">
    <w:abstractNumId w:val="47"/>
  </w:num>
  <w:num w:numId="4" w16cid:durableId="1496461009">
    <w:abstractNumId w:val="27"/>
  </w:num>
  <w:num w:numId="5" w16cid:durableId="1262490559">
    <w:abstractNumId w:val="8"/>
  </w:num>
  <w:num w:numId="6" w16cid:durableId="1169447028">
    <w:abstractNumId w:val="21"/>
  </w:num>
  <w:num w:numId="7" w16cid:durableId="1201892093">
    <w:abstractNumId w:val="31"/>
  </w:num>
  <w:num w:numId="8" w16cid:durableId="2052537220">
    <w:abstractNumId w:val="29"/>
  </w:num>
  <w:num w:numId="9" w16cid:durableId="223609302">
    <w:abstractNumId w:val="22"/>
  </w:num>
  <w:num w:numId="10" w16cid:durableId="140271731">
    <w:abstractNumId w:val="5"/>
  </w:num>
  <w:num w:numId="11" w16cid:durableId="721754683">
    <w:abstractNumId w:val="41"/>
  </w:num>
  <w:num w:numId="12" w16cid:durableId="304312797">
    <w:abstractNumId w:val="33"/>
  </w:num>
  <w:num w:numId="13" w16cid:durableId="299847940">
    <w:abstractNumId w:val="34"/>
  </w:num>
  <w:num w:numId="14" w16cid:durableId="1479567145">
    <w:abstractNumId w:val="32"/>
  </w:num>
  <w:num w:numId="15" w16cid:durableId="1352878718">
    <w:abstractNumId w:val="35"/>
  </w:num>
  <w:num w:numId="16" w16cid:durableId="162479884">
    <w:abstractNumId w:val="36"/>
  </w:num>
  <w:num w:numId="17" w16cid:durableId="1956905839">
    <w:abstractNumId w:val="37"/>
  </w:num>
  <w:num w:numId="18" w16cid:durableId="749275615">
    <w:abstractNumId w:val="4"/>
  </w:num>
  <w:num w:numId="19" w16cid:durableId="1557014251">
    <w:abstractNumId w:val="3"/>
  </w:num>
  <w:num w:numId="20" w16cid:durableId="1581790126">
    <w:abstractNumId w:val="2"/>
  </w:num>
  <w:num w:numId="21" w16cid:durableId="1416122648">
    <w:abstractNumId w:val="1"/>
  </w:num>
  <w:num w:numId="22" w16cid:durableId="364064939">
    <w:abstractNumId w:val="0"/>
  </w:num>
  <w:num w:numId="23" w16cid:durableId="175119783">
    <w:abstractNumId w:val="30"/>
  </w:num>
  <w:num w:numId="24" w16cid:durableId="1359890920">
    <w:abstractNumId w:val="25"/>
  </w:num>
  <w:num w:numId="25" w16cid:durableId="1542015638">
    <w:abstractNumId w:val="10"/>
  </w:num>
  <w:num w:numId="26" w16cid:durableId="1510025937">
    <w:abstractNumId w:val="26"/>
  </w:num>
  <w:num w:numId="27" w16cid:durableId="1395352953">
    <w:abstractNumId w:val="19"/>
  </w:num>
  <w:num w:numId="28" w16cid:durableId="103230107">
    <w:abstractNumId w:val="43"/>
  </w:num>
  <w:num w:numId="29" w16cid:durableId="1898588936">
    <w:abstractNumId w:val="49"/>
  </w:num>
  <w:num w:numId="30" w16cid:durableId="239561033">
    <w:abstractNumId w:val="45"/>
  </w:num>
  <w:num w:numId="31" w16cid:durableId="564687558">
    <w:abstractNumId w:val="11"/>
  </w:num>
  <w:num w:numId="32" w16cid:durableId="969364658">
    <w:abstractNumId w:val="28"/>
  </w:num>
  <w:num w:numId="33" w16cid:durableId="548110124">
    <w:abstractNumId w:val="13"/>
  </w:num>
  <w:num w:numId="34" w16cid:durableId="387844245">
    <w:abstractNumId w:val="15"/>
  </w:num>
  <w:num w:numId="35" w16cid:durableId="1353798013">
    <w:abstractNumId w:val="42"/>
  </w:num>
  <w:num w:numId="36" w16cid:durableId="2058040331">
    <w:abstractNumId w:val="20"/>
  </w:num>
  <w:num w:numId="37" w16cid:durableId="1236090914">
    <w:abstractNumId w:val="7"/>
  </w:num>
  <w:num w:numId="38" w16cid:durableId="367608996">
    <w:abstractNumId w:val="14"/>
  </w:num>
  <w:num w:numId="39" w16cid:durableId="36855849">
    <w:abstractNumId w:val="16"/>
  </w:num>
  <w:num w:numId="40" w16cid:durableId="1187332146">
    <w:abstractNumId w:val="9"/>
  </w:num>
  <w:num w:numId="41" w16cid:durableId="188881894">
    <w:abstractNumId w:val="39"/>
  </w:num>
  <w:num w:numId="42" w16cid:durableId="80763631">
    <w:abstractNumId w:val="44"/>
  </w:num>
  <w:num w:numId="43" w16cid:durableId="1072586740">
    <w:abstractNumId w:val="12"/>
  </w:num>
  <w:num w:numId="44" w16cid:durableId="1276447796">
    <w:abstractNumId w:val="48"/>
  </w:num>
  <w:num w:numId="45" w16cid:durableId="1563760034">
    <w:abstractNumId w:val="6"/>
  </w:num>
  <w:num w:numId="46" w16cid:durableId="464659065">
    <w:abstractNumId w:val="23"/>
  </w:num>
  <w:num w:numId="47" w16cid:durableId="589704428">
    <w:abstractNumId w:val="40"/>
  </w:num>
  <w:num w:numId="48" w16cid:durableId="765735164">
    <w:abstractNumId w:val="46"/>
  </w:num>
  <w:num w:numId="49" w16cid:durableId="1451974428">
    <w:abstractNumId w:val="18"/>
  </w:num>
  <w:num w:numId="50" w16cid:durableId="2086612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714F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296E"/>
    <w:rsid w:val="003676E3"/>
    <w:rsid w:val="003736B3"/>
    <w:rsid w:val="00380EF0"/>
    <w:rsid w:val="003A1644"/>
    <w:rsid w:val="003D5DF5"/>
    <w:rsid w:val="003E3400"/>
    <w:rsid w:val="0042075B"/>
    <w:rsid w:val="00433F51"/>
    <w:rsid w:val="0044739C"/>
    <w:rsid w:val="004639C0"/>
    <w:rsid w:val="00475E98"/>
    <w:rsid w:val="004955F6"/>
    <w:rsid w:val="004A47F9"/>
    <w:rsid w:val="004B76C7"/>
    <w:rsid w:val="004C2396"/>
    <w:rsid w:val="004E6AAB"/>
    <w:rsid w:val="0050689E"/>
    <w:rsid w:val="0052688D"/>
    <w:rsid w:val="00547B8D"/>
    <w:rsid w:val="00551B88"/>
    <w:rsid w:val="00587D31"/>
    <w:rsid w:val="005E0D1D"/>
    <w:rsid w:val="005E1850"/>
    <w:rsid w:val="00614D0A"/>
    <w:rsid w:val="00653E72"/>
    <w:rsid w:val="00661981"/>
    <w:rsid w:val="006A5CFE"/>
    <w:rsid w:val="006E18EF"/>
    <w:rsid w:val="006E64DB"/>
    <w:rsid w:val="006F54CA"/>
    <w:rsid w:val="0071218C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7CF7"/>
    <w:rsid w:val="008B1F83"/>
    <w:rsid w:val="008E62B1"/>
    <w:rsid w:val="008F0397"/>
    <w:rsid w:val="00937B0B"/>
    <w:rsid w:val="009433D9"/>
    <w:rsid w:val="00983536"/>
    <w:rsid w:val="009B721F"/>
    <w:rsid w:val="009C06A2"/>
    <w:rsid w:val="009C59C9"/>
    <w:rsid w:val="009D2836"/>
    <w:rsid w:val="009F309D"/>
    <w:rsid w:val="009F711D"/>
    <w:rsid w:val="00A06C64"/>
    <w:rsid w:val="00A56A28"/>
    <w:rsid w:val="00AC136E"/>
    <w:rsid w:val="00AE4D06"/>
    <w:rsid w:val="00B01FFE"/>
    <w:rsid w:val="00B634E2"/>
    <w:rsid w:val="00B707AF"/>
    <w:rsid w:val="00B7183C"/>
    <w:rsid w:val="00B87D52"/>
    <w:rsid w:val="00BC398F"/>
    <w:rsid w:val="00BD71E9"/>
    <w:rsid w:val="00C135D1"/>
    <w:rsid w:val="00C310AF"/>
    <w:rsid w:val="00C4509A"/>
    <w:rsid w:val="00C73E1A"/>
    <w:rsid w:val="00CA1A10"/>
    <w:rsid w:val="00CB488F"/>
    <w:rsid w:val="00CC0E7A"/>
    <w:rsid w:val="00CC38C8"/>
    <w:rsid w:val="00D17D69"/>
    <w:rsid w:val="00D242BF"/>
    <w:rsid w:val="00D86187"/>
    <w:rsid w:val="00DB32C7"/>
    <w:rsid w:val="00DD54CC"/>
    <w:rsid w:val="00E2265E"/>
    <w:rsid w:val="00E501F2"/>
    <w:rsid w:val="00EA5F7F"/>
    <w:rsid w:val="00ED3984"/>
    <w:rsid w:val="00F12F5E"/>
    <w:rsid w:val="00F20663"/>
    <w:rsid w:val="00F305D9"/>
    <w:rsid w:val="00F64056"/>
    <w:rsid w:val="00F9157A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KeinLeerraum">
    <w:name w:val="No Spacing"/>
    <w:link w:val="KeinLeerraumZchn"/>
    <w:uiPriority w:val="99"/>
    <w:qFormat/>
    <w:rsid w:val="009C59C9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9C59C9"/>
    <w:rPr>
      <w:rFonts w:ascii="Times New Roman" w:eastAsiaTheme="minorHAnsi" w:hAnsi="Times New Roman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6F54C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3F1F4-9438-4A26-BB95-F5FD98B1B374}"/>
</file>

<file path=customXml/itemProps4.xml><?xml version="1.0" encoding="utf-8"?>
<ds:datastoreItem xmlns:ds="http://schemas.openxmlformats.org/officeDocument/2006/customXml" ds:itemID="{26C22989-9AB2-4F5B-8728-A1F85C7CF5B0}"/>
</file>

<file path=customXml/itemProps5.xml><?xml version="1.0" encoding="utf-8"?>
<ds:datastoreItem xmlns:ds="http://schemas.openxmlformats.org/officeDocument/2006/customXml" ds:itemID="{20BA9352-7474-4D6B-B521-C6423E380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891</Characters>
  <Application>Microsoft Office Word</Application>
  <DocSecurity>0</DocSecurity>
  <Lines>34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2023-01-09T15:10:00Z</dcterms:created>
  <dcterms:modified xsi:type="dcterms:W3CDTF">2023-01-09T15:10:00Z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