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1DD5FA07" w14:textId="7D89590D" w:rsidR="004F0326" w:rsidRDefault="007A7CA7" w:rsidP="004F0326">
      <w:pPr>
        <w:tabs>
          <w:tab w:val="left" w:pos="1365"/>
          <w:tab w:val="left" w:pos="2430"/>
          <w:tab w:val="left" w:pos="4185"/>
          <w:tab w:val="left" w:pos="690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  <w:r w:rsidR="005E1850">
        <w:tab/>
      </w:r>
      <w:r>
        <w:tab/>
      </w:r>
      <w:r w:rsidR="00B707AF">
        <w:tab/>
      </w:r>
    </w:p>
    <w:p w14:paraId="0F8B988A" w14:textId="49116C6B" w:rsidR="004F0326" w:rsidRDefault="004F0326" w:rsidP="004F0326">
      <w:pPr>
        <w:autoSpaceDE w:val="0"/>
        <w:autoSpaceDN w:val="0"/>
        <w:adjustRightInd w:val="0"/>
        <w:spacing w:after="40" w:line="261" w:lineRule="atLeast"/>
        <w:rPr>
          <w:rFonts w:ascii="PT Sans" w:hAnsi="PT Sans" w:cs="PT Sans"/>
          <w:color w:val="62BC45"/>
          <w:sz w:val="26"/>
          <w:szCs w:val="26"/>
          <w:lang w:eastAsia="de-DE"/>
        </w:rPr>
      </w:pPr>
    </w:p>
    <w:p w14:paraId="3C79230E" w14:textId="77777777" w:rsidR="004F0326" w:rsidRPr="004F0326" w:rsidRDefault="004F0326" w:rsidP="004F0326">
      <w:pPr>
        <w:autoSpaceDE w:val="0"/>
        <w:autoSpaceDN w:val="0"/>
        <w:adjustRightInd w:val="0"/>
        <w:spacing w:after="40" w:line="261" w:lineRule="atLeast"/>
        <w:rPr>
          <w:rFonts w:ascii="PT Sans" w:hAnsi="PT Sans" w:cs="PT Sans"/>
          <w:color w:val="62BC45"/>
          <w:sz w:val="26"/>
          <w:szCs w:val="26"/>
          <w:lang w:eastAsia="de-DE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3659"/>
        <w:gridCol w:w="3969"/>
      </w:tblGrid>
      <w:tr w:rsidR="004F0326" w:rsidRPr="004F0326" w14:paraId="3827FE0D" w14:textId="77777777" w:rsidTr="00DB32E6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9351" w:type="dxa"/>
            <w:gridSpan w:val="3"/>
            <w:shd w:val="clear" w:color="auto" w:fill="92D050"/>
          </w:tcPr>
          <w:p w14:paraId="4D119FB0" w14:textId="38159825" w:rsidR="004F0326" w:rsidRPr="004F0326" w:rsidRDefault="004F0326" w:rsidP="004F032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F032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So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w</w:t>
            </w:r>
            <w:r w:rsidRPr="004F032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ird Cannabis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v</w:t>
            </w:r>
            <w:r w:rsidRPr="004F0326">
              <w:rPr>
                <w:rFonts w:ascii="Arial" w:hAnsi="Arial" w:cs="Arial"/>
                <w:b/>
                <w:color w:val="FFFFFF"/>
                <w:sz w:val="28"/>
                <w:szCs w:val="28"/>
              </w:rPr>
              <w:t>erabreicht</w:t>
            </w:r>
          </w:p>
        </w:tc>
      </w:tr>
      <w:tr w:rsidR="004F0326" w:rsidRPr="004F0326" w14:paraId="1558BB8A" w14:textId="77777777" w:rsidTr="00DB32E6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1723" w:type="dxa"/>
            <w:shd w:val="clear" w:color="auto" w:fill="D6E3BC"/>
          </w:tcPr>
          <w:p w14:paraId="79679F86" w14:textId="77777777" w:rsidR="004F0326" w:rsidRPr="004F0326" w:rsidRDefault="004F0326" w:rsidP="004F032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032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Medikament </w:t>
            </w:r>
          </w:p>
        </w:tc>
        <w:tc>
          <w:tcPr>
            <w:tcW w:w="3659" w:type="dxa"/>
            <w:shd w:val="clear" w:color="auto" w:fill="D6E3BC"/>
          </w:tcPr>
          <w:p w14:paraId="175FDD21" w14:textId="77777777" w:rsidR="004F0326" w:rsidRPr="004F0326" w:rsidRDefault="004F0326" w:rsidP="004F032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032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Darreichungsform </w:t>
            </w:r>
          </w:p>
        </w:tc>
        <w:tc>
          <w:tcPr>
            <w:tcW w:w="3969" w:type="dxa"/>
            <w:shd w:val="clear" w:color="auto" w:fill="D6E3BC"/>
          </w:tcPr>
          <w:p w14:paraId="53B301CB" w14:textId="77777777" w:rsidR="004F0326" w:rsidRPr="004F0326" w:rsidRDefault="004F0326" w:rsidP="004F032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032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Einnahme </w:t>
            </w:r>
          </w:p>
        </w:tc>
      </w:tr>
      <w:tr w:rsidR="004F0326" w:rsidRPr="004F0326" w14:paraId="04FA3F2F" w14:textId="77777777" w:rsidTr="00DB32E6">
        <w:tblPrEx>
          <w:tblCellMar>
            <w:top w:w="0" w:type="dxa"/>
            <w:bottom w:w="0" w:type="dxa"/>
          </w:tblCellMar>
        </w:tblPrEx>
        <w:trPr>
          <w:trHeight w:val="777"/>
          <w:jc w:val="center"/>
        </w:trPr>
        <w:tc>
          <w:tcPr>
            <w:tcW w:w="1723" w:type="dxa"/>
          </w:tcPr>
          <w:p w14:paraId="081F5B1A" w14:textId="7F7D652F" w:rsidR="004F0326" w:rsidRPr="004F0326" w:rsidRDefault="004F0326" w:rsidP="004F03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Medizinischer Cannabis in Form von Cannabis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blüten </w:t>
            </w:r>
          </w:p>
        </w:tc>
        <w:tc>
          <w:tcPr>
            <w:tcW w:w="3659" w:type="dxa"/>
          </w:tcPr>
          <w:p w14:paraId="35F6B03D" w14:textId="77777777" w:rsidR="004F0326" w:rsidRPr="004F0326" w:rsidRDefault="004F0326" w:rsidP="004F03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Cannabisblüten sind schwierig zu dosieren, daher werden sie in der Apotheke nach strengen Vorgaben gemahlen. Ihr Pflegekunde erhält sie als Pulver mit einem Dosierlöffel. Mit diesem messen Sie die ver</w:t>
            </w:r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ordnete Menge ab. </w:t>
            </w:r>
          </w:p>
        </w:tc>
        <w:tc>
          <w:tcPr>
            <w:tcW w:w="3969" w:type="dxa"/>
          </w:tcPr>
          <w:p w14:paraId="04138B0A" w14:textId="0340656A" w:rsidR="004F0326" w:rsidRPr="004F0326" w:rsidRDefault="004F0326" w:rsidP="004F0326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64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F0326">
              <w:rPr>
                <w:rFonts w:ascii="Arial" w:hAnsi="Arial" w:cs="Arial"/>
                <w:color w:val="000000" w:themeColor="text1"/>
                <w:sz w:val="24"/>
              </w:rPr>
              <w:t xml:space="preserve">muss grundsätzlich vorher erhitzt werden, entweder in einem speziellen Verdampfer/ </w:t>
            </w:r>
            <w:proofErr w:type="spellStart"/>
            <w:r w:rsidRPr="004F0326">
              <w:rPr>
                <w:rFonts w:ascii="Arial" w:hAnsi="Arial" w:cs="Arial"/>
                <w:color w:val="000000" w:themeColor="text1"/>
                <w:sz w:val="24"/>
              </w:rPr>
              <w:t>Vaporizer</w:t>
            </w:r>
            <w:proofErr w:type="spellEnd"/>
            <w:r w:rsidRPr="004F0326">
              <w:rPr>
                <w:rFonts w:ascii="Arial" w:hAnsi="Arial" w:cs="Arial"/>
                <w:color w:val="000000" w:themeColor="text1"/>
                <w:sz w:val="24"/>
              </w:rPr>
              <w:t xml:space="preserve"> bzw. als Joint </w:t>
            </w:r>
          </w:p>
          <w:p w14:paraId="7CC9A9B7" w14:textId="2485923A" w:rsidR="004F0326" w:rsidRPr="004F0326" w:rsidRDefault="004F0326" w:rsidP="004F0326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64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F0326">
              <w:rPr>
                <w:rFonts w:ascii="Arial" w:hAnsi="Arial" w:cs="Arial"/>
                <w:color w:val="000000" w:themeColor="text1"/>
                <w:sz w:val="24"/>
              </w:rPr>
              <w:t>auch möglich: nach Abkochung als Tee (Pul</w:t>
            </w:r>
            <w:r w:rsidRPr="004F0326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ver in einen Becher füllen und 30 Minuten in heißem Wasser ziehen lassen) </w:t>
            </w:r>
          </w:p>
          <w:p w14:paraId="68C5BD40" w14:textId="56B09F4C" w:rsidR="004F0326" w:rsidRPr="004F0326" w:rsidRDefault="004F0326" w:rsidP="004F0326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64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F0326">
              <w:rPr>
                <w:rFonts w:ascii="Arial" w:hAnsi="Arial" w:cs="Arial"/>
                <w:color w:val="000000" w:themeColor="text1"/>
                <w:sz w:val="24"/>
              </w:rPr>
              <w:t xml:space="preserve">Wirkung beim Inhalieren tritt schneller ein </w:t>
            </w:r>
          </w:p>
        </w:tc>
      </w:tr>
      <w:tr w:rsidR="004F0326" w:rsidRPr="004F0326" w14:paraId="4E50C73A" w14:textId="77777777" w:rsidTr="00DB32E6">
        <w:tblPrEx>
          <w:tblCellMar>
            <w:top w:w="0" w:type="dxa"/>
            <w:bottom w:w="0" w:type="dxa"/>
          </w:tblCellMar>
        </w:tblPrEx>
        <w:trPr>
          <w:trHeight w:val="337"/>
          <w:jc w:val="center"/>
        </w:trPr>
        <w:tc>
          <w:tcPr>
            <w:tcW w:w="1723" w:type="dxa"/>
          </w:tcPr>
          <w:p w14:paraId="0F569604" w14:textId="77777777" w:rsidR="004F0326" w:rsidRPr="004F0326" w:rsidRDefault="004F0326" w:rsidP="004F03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Sativex</w:t>
            </w:r>
            <w:proofErr w:type="spellEnd"/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® </w:t>
            </w:r>
          </w:p>
        </w:tc>
        <w:tc>
          <w:tcPr>
            <w:tcW w:w="3659" w:type="dxa"/>
          </w:tcPr>
          <w:p w14:paraId="07C5C3D0" w14:textId="77777777" w:rsidR="004F0326" w:rsidRPr="004F0326" w:rsidRDefault="004F0326" w:rsidP="004F03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zugelassen für die Zusatzbehandlung von mittel</w:t>
            </w:r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schwerer </w:t>
            </w:r>
            <w:proofErr w:type="gramStart"/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bis schwerer Spastik</w:t>
            </w:r>
            <w:proofErr w:type="gramEnd"/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aufgrund von Multip</w:t>
            </w:r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ler Sklerose </w:t>
            </w:r>
          </w:p>
        </w:tc>
        <w:tc>
          <w:tcPr>
            <w:tcW w:w="3969" w:type="dxa"/>
          </w:tcPr>
          <w:p w14:paraId="18634C21" w14:textId="0CD0A547" w:rsidR="004F0326" w:rsidRPr="004F0326" w:rsidRDefault="004F0326" w:rsidP="004F0326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64" w:hanging="218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</w:t>
            </w:r>
            <w:r w:rsidRPr="004F0326">
              <w:rPr>
                <w:rFonts w:ascii="Arial" w:hAnsi="Arial" w:cs="Arial"/>
                <w:color w:val="000000" w:themeColor="text1"/>
                <w:sz w:val="24"/>
              </w:rPr>
              <w:t xml:space="preserve">undspray </w:t>
            </w:r>
          </w:p>
          <w:p w14:paraId="3C84D0F3" w14:textId="207155F8" w:rsidR="004F0326" w:rsidRPr="004F0326" w:rsidRDefault="004F0326" w:rsidP="004F0326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64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F0326">
              <w:rPr>
                <w:rFonts w:ascii="Arial" w:hAnsi="Arial" w:cs="Arial"/>
                <w:color w:val="000000" w:themeColor="text1"/>
                <w:sz w:val="24"/>
              </w:rPr>
              <w:t xml:space="preserve">wird über die Mundschleimhaut aufgenommen </w:t>
            </w:r>
          </w:p>
        </w:tc>
      </w:tr>
      <w:tr w:rsidR="004F0326" w:rsidRPr="004F0326" w14:paraId="267EA718" w14:textId="77777777" w:rsidTr="00DB32E6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1723" w:type="dxa"/>
          </w:tcPr>
          <w:p w14:paraId="0BF7EAD1" w14:textId="77777777" w:rsidR="004F0326" w:rsidRPr="004F0326" w:rsidRDefault="004F0326" w:rsidP="004F03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Canemes</w:t>
            </w:r>
            <w:proofErr w:type="spellEnd"/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® </w:t>
            </w:r>
          </w:p>
        </w:tc>
        <w:tc>
          <w:tcPr>
            <w:tcW w:w="3659" w:type="dxa"/>
          </w:tcPr>
          <w:p w14:paraId="40F8193C" w14:textId="77777777" w:rsidR="004F0326" w:rsidRPr="004F0326" w:rsidRDefault="004F0326" w:rsidP="004F03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Fertigarznei mit dem Wirkstoff </w:t>
            </w:r>
            <w:proofErr w:type="spellStart"/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Nabilon</w:t>
            </w:r>
            <w:proofErr w:type="spellEnd"/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bei Übelkeit und Erbrechen während der Chemotherapie </w:t>
            </w:r>
          </w:p>
        </w:tc>
        <w:tc>
          <w:tcPr>
            <w:tcW w:w="3969" w:type="dxa"/>
          </w:tcPr>
          <w:p w14:paraId="0458D9BA" w14:textId="771D66EB" w:rsidR="004F0326" w:rsidRPr="004F0326" w:rsidRDefault="004F0326" w:rsidP="004F0326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64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F0326">
              <w:rPr>
                <w:rFonts w:ascii="Arial" w:hAnsi="Arial" w:cs="Arial"/>
                <w:color w:val="000000" w:themeColor="text1"/>
                <w:sz w:val="24"/>
              </w:rPr>
              <w:t xml:space="preserve">Kapseln zur oralen Einnahme </w:t>
            </w:r>
          </w:p>
          <w:p w14:paraId="67B5049B" w14:textId="7614A2AA" w:rsidR="004F0326" w:rsidRPr="004F0326" w:rsidRDefault="004F0326" w:rsidP="004F0326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64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F0326">
              <w:rPr>
                <w:rFonts w:ascii="Arial" w:hAnsi="Arial" w:cs="Arial"/>
                <w:color w:val="000000" w:themeColor="text1"/>
                <w:sz w:val="24"/>
              </w:rPr>
              <w:t xml:space="preserve">wirken über den Verdauungstrakt </w:t>
            </w:r>
          </w:p>
        </w:tc>
      </w:tr>
      <w:tr w:rsidR="004F0326" w:rsidRPr="004F0326" w14:paraId="23932ED4" w14:textId="77777777" w:rsidTr="00DB32E6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1723" w:type="dxa"/>
          </w:tcPr>
          <w:p w14:paraId="63DD1610" w14:textId="77777777" w:rsidR="004F0326" w:rsidRPr="004F0326" w:rsidRDefault="004F0326" w:rsidP="004F03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Dronabinol </w:t>
            </w:r>
          </w:p>
        </w:tc>
        <w:tc>
          <w:tcPr>
            <w:tcW w:w="3659" w:type="dxa"/>
          </w:tcPr>
          <w:p w14:paraId="33A4558E" w14:textId="3D5A378A" w:rsidR="004F0326" w:rsidRPr="004F0326" w:rsidRDefault="004F0326" w:rsidP="004F03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gegen Übelkeit und Erbrechen bei Chemotherapie, Appetitlosigkeit und Gewichtsverlust bei HIV-/AIDS</w:t>
            </w:r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-Patienten, auch bei allen anderen Anwendungsge</w:t>
            </w:r>
            <w:r w:rsidRPr="004F03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bieten verordnungsfähig (siehe Infokasten) </w:t>
            </w:r>
          </w:p>
        </w:tc>
        <w:tc>
          <w:tcPr>
            <w:tcW w:w="3969" w:type="dxa"/>
          </w:tcPr>
          <w:p w14:paraId="4FA4331E" w14:textId="7BF20D14" w:rsidR="004F0326" w:rsidRPr="004F0326" w:rsidRDefault="004F0326" w:rsidP="004F0326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64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F0326">
              <w:rPr>
                <w:rFonts w:ascii="Arial" w:hAnsi="Arial" w:cs="Arial"/>
                <w:color w:val="000000" w:themeColor="text1"/>
                <w:sz w:val="24"/>
              </w:rPr>
              <w:t xml:space="preserve">ölige Tropfen, die in der Apotheke hergestellt werden </w:t>
            </w:r>
          </w:p>
          <w:p w14:paraId="6949D88B" w14:textId="03C76F73" w:rsidR="004F0326" w:rsidRPr="004F0326" w:rsidRDefault="004F0326" w:rsidP="004F0326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64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F0326">
              <w:rPr>
                <w:rFonts w:ascii="Arial" w:hAnsi="Arial" w:cs="Arial"/>
                <w:color w:val="000000" w:themeColor="text1"/>
                <w:sz w:val="24"/>
              </w:rPr>
              <w:t xml:space="preserve">orale Einnahme </w:t>
            </w:r>
          </w:p>
          <w:p w14:paraId="4F9F0BC4" w14:textId="6D7D97D3" w:rsidR="004F0326" w:rsidRPr="004F0326" w:rsidRDefault="004F0326" w:rsidP="004F0326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64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F0326">
              <w:rPr>
                <w:rFonts w:ascii="Arial" w:hAnsi="Arial" w:cs="Arial"/>
                <w:color w:val="000000" w:themeColor="text1"/>
                <w:sz w:val="24"/>
              </w:rPr>
              <w:t xml:space="preserve">wirken über den Verdauungstrakt </w:t>
            </w:r>
          </w:p>
        </w:tc>
      </w:tr>
    </w:tbl>
    <w:p w14:paraId="657A054C" w14:textId="77777777" w:rsidR="004F0326" w:rsidRPr="004D1F13" w:rsidRDefault="004F0326" w:rsidP="004D1F1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4F0326" w:rsidRPr="004D1F13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272DD2E1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26760">
            <w:rPr>
              <w:b/>
              <w:color w:val="FFFFFF"/>
              <w:sz w:val="24"/>
            </w:rPr>
            <w:t>0</w:t>
          </w:r>
          <w:r w:rsidR="004D1F13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D458E"/>
    <w:multiLevelType w:val="hybridMultilevel"/>
    <w:tmpl w:val="2E2CD2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6158B"/>
    <w:multiLevelType w:val="hybridMultilevel"/>
    <w:tmpl w:val="563A4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1"/>
  </w:num>
  <w:num w:numId="3" w16cid:durableId="1023476870">
    <w:abstractNumId w:val="23"/>
  </w:num>
  <w:num w:numId="4" w16cid:durableId="1632981953">
    <w:abstractNumId w:val="12"/>
  </w:num>
  <w:num w:numId="5" w16cid:durableId="334385539">
    <w:abstractNumId w:val="7"/>
  </w:num>
  <w:num w:numId="6" w16cid:durableId="292560944">
    <w:abstractNumId w:val="9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10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62405204">
    <w:abstractNumId w:val="6"/>
  </w:num>
  <w:num w:numId="24" w16cid:durableId="1957524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0147"/>
    <w:rsid w:val="00433F51"/>
    <w:rsid w:val="004639C0"/>
    <w:rsid w:val="00475E98"/>
    <w:rsid w:val="004955F6"/>
    <w:rsid w:val="004A47F9"/>
    <w:rsid w:val="004C2396"/>
    <w:rsid w:val="004D1F13"/>
    <w:rsid w:val="004E6AAB"/>
    <w:rsid w:val="004F0326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242BF"/>
    <w:rsid w:val="00D86187"/>
    <w:rsid w:val="00DB32C7"/>
    <w:rsid w:val="00DB32E6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4D1F13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4D1F13"/>
    <w:pPr>
      <w:spacing w:line="26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4D1F13"/>
    <w:pPr>
      <w:spacing w:line="19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4D1F13"/>
    <w:pPr>
      <w:spacing w:line="19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4D1F13"/>
    <w:pPr>
      <w:spacing w:line="19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4D1F13"/>
    <w:rPr>
      <w:rFonts w:ascii="Wingdings" w:hAnsi="Wingdings" w:cs="Wingdings"/>
      <w:color w:val="62BC45"/>
      <w:sz w:val="19"/>
      <w:szCs w:val="19"/>
    </w:rPr>
  </w:style>
  <w:style w:type="paragraph" w:customStyle="1" w:styleId="Pa6">
    <w:name w:val="Pa6"/>
    <w:basedOn w:val="Default"/>
    <w:next w:val="Default"/>
    <w:uiPriority w:val="99"/>
    <w:rsid w:val="004D1F13"/>
    <w:pPr>
      <w:spacing w:line="2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DBDFD-FE0C-4A43-8AB0-5710B45BA1CB}"/>
</file>

<file path=customXml/itemProps4.xml><?xml version="1.0" encoding="utf-8"?>
<ds:datastoreItem xmlns:ds="http://schemas.openxmlformats.org/officeDocument/2006/customXml" ds:itemID="{06FF1CC4-6BA1-459C-9C4E-896EE732BD35}"/>
</file>

<file path=customXml/itemProps5.xml><?xml version="1.0" encoding="utf-8"?>
<ds:datastoreItem xmlns:ds="http://schemas.openxmlformats.org/officeDocument/2006/customXml" ds:itemID="{BDEC8E18-EACA-4CC2-BED4-822A9CABD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2023-01-17T11:57:00Z</dcterms:created>
  <dcterms:modified xsi:type="dcterms:W3CDTF">2023-01-17T12:01:00Z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