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5DF36" w14:textId="77777777" w:rsidR="002A5D13" w:rsidRDefault="009C06A2" w:rsidP="007A7CA7">
      <w:pPr>
        <w:tabs>
          <w:tab w:val="left" w:pos="5280"/>
        </w:tabs>
        <w:rPr>
          <w:b/>
          <w:noProof/>
          <w:lang w:eastAsia="de-DE"/>
        </w:rPr>
      </w:pPr>
      <w:r>
        <w:rPr>
          <w:b/>
          <w:noProof/>
          <w:lang w:eastAsia="de-DE"/>
        </w:rPr>
        <w:t xml:space="preserve"> </w:t>
      </w:r>
      <w:r w:rsidR="007A7CA7">
        <w:rPr>
          <w:b/>
          <w:noProof/>
          <w:lang w:eastAsia="de-DE"/>
        </w:rPr>
        <w:tab/>
      </w:r>
    </w:p>
    <w:p w14:paraId="08D94635" w14:textId="058E50E2" w:rsidR="007A7CA7" w:rsidRDefault="007A7CA7" w:rsidP="000B2620">
      <w:pPr>
        <w:tabs>
          <w:tab w:val="left" w:pos="1365"/>
          <w:tab w:val="left" w:pos="2430"/>
          <w:tab w:val="left" w:pos="4185"/>
          <w:tab w:val="left" w:pos="6900"/>
        </w:tabs>
      </w:pPr>
      <w:r>
        <w:tab/>
      </w:r>
      <w:r w:rsidR="005E1850">
        <w:tab/>
      </w:r>
      <w:r>
        <w:tab/>
      </w:r>
      <w:r w:rsidR="00B707AF">
        <w:tab/>
      </w:r>
    </w:p>
    <w:tbl>
      <w:tblPr>
        <w:tblW w:w="111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194"/>
      </w:tblGrid>
      <w:tr w:rsidR="0000300E" w:rsidRPr="0000300E" w14:paraId="417CF1EC" w14:textId="77777777" w:rsidTr="000B2620">
        <w:trPr>
          <w:jc w:val="center"/>
        </w:trPr>
        <w:tc>
          <w:tcPr>
            <w:tcW w:w="11194" w:type="dxa"/>
            <w:tcBorders>
              <w:top w:val="single" w:sz="4" w:space="0" w:color="000000"/>
              <w:left w:val="single" w:sz="4" w:space="0" w:color="000000"/>
              <w:bottom w:val="single" w:sz="4" w:space="0" w:color="000000"/>
              <w:right w:val="single" w:sz="4" w:space="0" w:color="000000"/>
            </w:tcBorders>
            <w:shd w:val="clear" w:color="auto" w:fill="193965"/>
            <w:hideMark/>
          </w:tcPr>
          <w:p w14:paraId="5D7DE311" w14:textId="0AB76A7F" w:rsidR="0000300E" w:rsidRPr="0000300E" w:rsidRDefault="000B2620" w:rsidP="0000300E">
            <w:pPr>
              <w:spacing w:before="120" w:after="120"/>
              <w:rPr>
                <w:rFonts w:ascii="Arial" w:hAnsi="Arial" w:cs="Arial"/>
                <w:b/>
                <w:color w:val="FFFFFF"/>
                <w:sz w:val="28"/>
                <w:szCs w:val="28"/>
              </w:rPr>
            </w:pPr>
            <w:bookmarkStart w:id="0" w:name="_Hlk62535159"/>
            <w:r w:rsidRPr="000B2620">
              <w:rPr>
                <w:rFonts w:ascii="Arial" w:hAnsi="Arial" w:cs="Arial"/>
                <w:b/>
                <w:color w:val="FFFFFF"/>
                <w:sz w:val="28"/>
                <w:szCs w:val="28"/>
              </w:rPr>
              <w:t>Flussdiagramm: Verhalten bei Nadelstichverletzungen</w:t>
            </w:r>
          </w:p>
        </w:tc>
      </w:tr>
      <w:tr w:rsidR="000B2620" w:rsidRPr="000B2620" w14:paraId="35780048" w14:textId="77777777" w:rsidTr="000B2620">
        <w:trPr>
          <w:jc w:val="center"/>
        </w:trPr>
        <w:tc>
          <w:tcPr>
            <w:tcW w:w="11194" w:type="dxa"/>
            <w:tcBorders>
              <w:top w:val="single" w:sz="4" w:space="0" w:color="000000"/>
              <w:left w:val="single" w:sz="4" w:space="0" w:color="000000"/>
              <w:bottom w:val="single" w:sz="4" w:space="0" w:color="000000"/>
              <w:right w:val="single" w:sz="4" w:space="0" w:color="000000"/>
            </w:tcBorders>
            <w:hideMark/>
          </w:tcPr>
          <w:p w14:paraId="6E99814E" w14:textId="77777777" w:rsidR="000B2620" w:rsidRPr="000B2620" w:rsidRDefault="000B2620" w:rsidP="0000300E">
            <w:pPr>
              <w:spacing w:before="120" w:after="120"/>
              <w:rPr>
                <w:rFonts w:ascii="Arial" w:hAnsi="Arial" w:cs="Arial"/>
                <w:bCs/>
                <w:color w:val="000000" w:themeColor="text1"/>
              </w:rPr>
            </w:pPr>
            <w:r w:rsidRPr="000B2620">
              <w:rPr>
                <w:rFonts w:ascii="Arial" w:hAnsi="Arial" w:cs="Arial"/>
                <w:bCs/>
                <w:color w:val="000000" w:themeColor="text1"/>
              </w:rPr>
              <w:t xml:space="preserve">1. Bewahren Sie Ruhe und einen kühlen Kopf. </w:t>
            </w:r>
          </w:p>
          <w:p w14:paraId="2B4948BB" w14:textId="3BD5EBFC" w:rsidR="000B2620" w:rsidRPr="000B2620" w:rsidRDefault="000B2620" w:rsidP="000B2620">
            <w:pPr>
              <w:spacing w:before="120" w:after="120"/>
              <w:jc w:val="center"/>
              <w:rPr>
                <w:rFonts w:ascii="Arial" w:hAnsi="Arial" w:cs="Arial"/>
                <w:bCs/>
                <w:color w:val="000000" w:themeColor="text1"/>
              </w:rPr>
            </w:pPr>
            <w:r w:rsidRPr="000B2620">
              <w:rPr>
                <w:rFonts w:ascii="Arial" w:hAnsi="Arial" w:cs="Arial"/>
                <w:bCs/>
                <w:color w:val="000000" w:themeColor="text1"/>
              </w:rPr>
              <w:sym w:font="Wingdings" w:char="F0E2"/>
            </w:r>
          </w:p>
        </w:tc>
      </w:tr>
      <w:tr w:rsidR="000B2620" w:rsidRPr="000B2620" w14:paraId="14925B3F" w14:textId="77777777" w:rsidTr="000B2620">
        <w:trPr>
          <w:jc w:val="center"/>
        </w:trPr>
        <w:tc>
          <w:tcPr>
            <w:tcW w:w="11194" w:type="dxa"/>
            <w:tcBorders>
              <w:top w:val="single" w:sz="4" w:space="0" w:color="000000"/>
              <w:left w:val="single" w:sz="4" w:space="0" w:color="000000"/>
              <w:bottom w:val="single" w:sz="4" w:space="0" w:color="000000"/>
              <w:right w:val="single" w:sz="4" w:space="0" w:color="000000"/>
            </w:tcBorders>
          </w:tcPr>
          <w:p w14:paraId="3E2A34AC" w14:textId="77777777" w:rsidR="000B2620" w:rsidRPr="000B2620" w:rsidRDefault="000B2620" w:rsidP="0000300E">
            <w:pPr>
              <w:spacing w:before="120" w:after="120"/>
              <w:rPr>
                <w:rFonts w:ascii="Arial" w:hAnsi="Arial" w:cs="Arial"/>
                <w:bCs/>
                <w:color w:val="000000" w:themeColor="text1"/>
              </w:rPr>
            </w:pPr>
            <w:r w:rsidRPr="000B2620">
              <w:rPr>
                <w:rFonts w:ascii="Arial" w:hAnsi="Arial" w:cs="Arial"/>
                <w:bCs/>
                <w:color w:val="000000" w:themeColor="text1"/>
              </w:rPr>
              <w:t>2. Regen Sie bewusst die Blutung an der Einstichstelle an, um infektiöses Material zu entfernen. Üben Sie dazu bei Bedarf Druck auf das umgebende Gewebe aus (nicht die Einstichstelle selbst). Die Blutung sollte 1–2 Minuten anhalten.</w:t>
            </w:r>
          </w:p>
          <w:p w14:paraId="4A1EA450" w14:textId="5A717592" w:rsidR="000B2620" w:rsidRPr="000B2620" w:rsidRDefault="000B2620" w:rsidP="000B2620">
            <w:pPr>
              <w:spacing w:before="120" w:after="120"/>
              <w:jc w:val="center"/>
              <w:rPr>
                <w:rFonts w:ascii="Arial" w:hAnsi="Arial" w:cs="Arial"/>
                <w:bCs/>
                <w:color w:val="000000" w:themeColor="text1"/>
              </w:rPr>
            </w:pPr>
            <w:r w:rsidRPr="000B2620">
              <w:rPr>
                <w:rFonts w:ascii="Arial" w:hAnsi="Arial" w:cs="Arial"/>
                <w:bCs/>
                <w:color w:val="000000" w:themeColor="text1"/>
              </w:rPr>
              <w:sym w:font="Wingdings" w:char="F0E2"/>
            </w:r>
          </w:p>
        </w:tc>
      </w:tr>
      <w:tr w:rsidR="000B2620" w:rsidRPr="000B2620" w14:paraId="6DD68C0F" w14:textId="77777777" w:rsidTr="000B2620">
        <w:trPr>
          <w:jc w:val="center"/>
        </w:trPr>
        <w:tc>
          <w:tcPr>
            <w:tcW w:w="11194" w:type="dxa"/>
            <w:tcBorders>
              <w:top w:val="single" w:sz="4" w:space="0" w:color="000000"/>
              <w:left w:val="single" w:sz="4" w:space="0" w:color="000000"/>
              <w:bottom w:val="single" w:sz="4" w:space="0" w:color="000000"/>
              <w:right w:val="single" w:sz="4" w:space="0" w:color="000000"/>
            </w:tcBorders>
          </w:tcPr>
          <w:p w14:paraId="2F81FC8D" w14:textId="77777777" w:rsidR="000B2620" w:rsidRPr="000B2620" w:rsidRDefault="000B2620" w:rsidP="0000300E">
            <w:pPr>
              <w:spacing w:before="120" w:after="120"/>
              <w:rPr>
                <w:rFonts w:ascii="Arial" w:hAnsi="Arial" w:cs="Arial"/>
                <w:bCs/>
                <w:color w:val="000000" w:themeColor="text1"/>
              </w:rPr>
            </w:pPr>
            <w:r w:rsidRPr="000B2620">
              <w:rPr>
                <w:rFonts w:ascii="Arial" w:hAnsi="Arial" w:cs="Arial"/>
                <w:bCs/>
                <w:color w:val="000000" w:themeColor="text1"/>
              </w:rPr>
              <w:t>3. Ist eine Extremität verletzt, so halten Sie diese nach unten und streichen sie aus.</w:t>
            </w:r>
          </w:p>
          <w:p w14:paraId="77720FD6" w14:textId="28C27109" w:rsidR="000B2620" w:rsidRPr="000B2620" w:rsidRDefault="000B2620" w:rsidP="000B2620">
            <w:pPr>
              <w:spacing w:before="120" w:after="120"/>
              <w:jc w:val="center"/>
              <w:rPr>
                <w:rFonts w:ascii="Arial" w:hAnsi="Arial" w:cs="Arial"/>
                <w:bCs/>
                <w:color w:val="000000" w:themeColor="text1"/>
              </w:rPr>
            </w:pPr>
            <w:r w:rsidRPr="000B2620">
              <w:rPr>
                <w:rFonts w:ascii="Arial" w:hAnsi="Arial" w:cs="Arial"/>
                <w:bCs/>
                <w:color w:val="000000" w:themeColor="text1"/>
              </w:rPr>
              <w:sym w:font="Wingdings" w:char="F0E2"/>
            </w:r>
          </w:p>
        </w:tc>
      </w:tr>
      <w:tr w:rsidR="000B2620" w:rsidRPr="000B2620" w14:paraId="7128DE57" w14:textId="77777777" w:rsidTr="000B2620">
        <w:trPr>
          <w:jc w:val="center"/>
        </w:trPr>
        <w:tc>
          <w:tcPr>
            <w:tcW w:w="11194" w:type="dxa"/>
            <w:tcBorders>
              <w:top w:val="single" w:sz="4" w:space="0" w:color="000000"/>
              <w:left w:val="single" w:sz="4" w:space="0" w:color="000000"/>
              <w:bottom w:val="single" w:sz="4" w:space="0" w:color="000000"/>
              <w:right w:val="single" w:sz="4" w:space="0" w:color="000000"/>
            </w:tcBorders>
          </w:tcPr>
          <w:p w14:paraId="6459CC94" w14:textId="77777777" w:rsidR="000B2620" w:rsidRPr="000B2620" w:rsidRDefault="000B2620" w:rsidP="0000300E">
            <w:pPr>
              <w:spacing w:before="120" w:after="120"/>
              <w:rPr>
                <w:rFonts w:ascii="Arial" w:hAnsi="Arial" w:cs="Arial"/>
                <w:bCs/>
                <w:color w:val="000000" w:themeColor="text1"/>
              </w:rPr>
            </w:pPr>
            <w:r w:rsidRPr="000B2620">
              <w:rPr>
                <w:rFonts w:ascii="Arial" w:hAnsi="Arial" w:cs="Arial"/>
                <w:bCs/>
                <w:color w:val="000000" w:themeColor="text1"/>
              </w:rPr>
              <w:t>4. Spreizen Sie den Stichkanal und spülen Sie ihn eine Minute mit einem geeigneten Desinfektionsmittel (aus der VAH-Liste). Gut zu wissen: Die Desinfektionsmittel-Liste des Verbundes für Angewandte Hygiene ist die Standardreferenz für die Des-infektion im Routinebetrieb in Einrichtungen des Gesundheitswesens.</w:t>
            </w:r>
          </w:p>
          <w:p w14:paraId="2B90E834" w14:textId="640A434C" w:rsidR="000B2620" w:rsidRPr="000B2620" w:rsidRDefault="000B2620" w:rsidP="000B2620">
            <w:pPr>
              <w:spacing w:before="120" w:after="120"/>
              <w:jc w:val="center"/>
              <w:rPr>
                <w:rFonts w:ascii="Arial" w:hAnsi="Arial" w:cs="Arial"/>
                <w:bCs/>
                <w:color w:val="000000" w:themeColor="text1"/>
              </w:rPr>
            </w:pPr>
            <w:r w:rsidRPr="000B2620">
              <w:rPr>
                <w:rFonts w:ascii="Arial" w:hAnsi="Arial" w:cs="Arial"/>
                <w:bCs/>
                <w:color w:val="000000" w:themeColor="text1"/>
              </w:rPr>
              <w:sym w:font="Wingdings" w:char="F0E2"/>
            </w:r>
          </w:p>
        </w:tc>
      </w:tr>
      <w:tr w:rsidR="000B2620" w:rsidRPr="000B2620" w14:paraId="365D289D" w14:textId="77777777" w:rsidTr="000B2620">
        <w:trPr>
          <w:jc w:val="center"/>
        </w:trPr>
        <w:tc>
          <w:tcPr>
            <w:tcW w:w="11194" w:type="dxa"/>
            <w:tcBorders>
              <w:top w:val="single" w:sz="4" w:space="0" w:color="000000"/>
              <w:left w:val="single" w:sz="4" w:space="0" w:color="000000"/>
              <w:bottom w:val="single" w:sz="4" w:space="0" w:color="000000"/>
              <w:right w:val="single" w:sz="4" w:space="0" w:color="000000"/>
            </w:tcBorders>
          </w:tcPr>
          <w:p w14:paraId="2C11E853" w14:textId="77777777" w:rsidR="000B2620" w:rsidRPr="000B2620" w:rsidRDefault="000B2620" w:rsidP="0000300E">
            <w:pPr>
              <w:spacing w:before="120" w:after="120"/>
              <w:rPr>
                <w:rFonts w:ascii="Arial" w:hAnsi="Arial" w:cs="Arial"/>
                <w:bCs/>
                <w:color w:val="000000" w:themeColor="text1"/>
              </w:rPr>
            </w:pPr>
            <w:r w:rsidRPr="000B2620">
              <w:rPr>
                <w:rFonts w:ascii="Arial" w:hAnsi="Arial" w:cs="Arial"/>
                <w:bCs/>
                <w:color w:val="000000" w:themeColor="text1"/>
              </w:rPr>
              <w:t>5. Fixieren Sie einen mit Desinfektionsmittel durchtränkten Tupfer über der Einstichstelle und belassen Sie ihn dort für 10 Minuten. Bei Bedarf tränken Sie den Tupfer noch mehrmals mit Desinfektionsmittel.</w:t>
            </w:r>
          </w:p>
          <w:p w14:paraId="64589BC8" w14:textId="460A8B66" w:rsidR="000B2620" w:rsidRPr="000B2620" w:rsidRDefault="000B2620" w:rsidP="000B2620">
            <w:pPr>
              <w:spacing w:before="120" w:after="120"/>
              <w:jc w:val="center"/>
              <w:rPr>
                <w:rFonts w:ascii="Arial" w:hAnsi="Arial" w:cs="Arial"/>
                <w:bCs/>
                <w:color w:val="000000" w:themeColor="text1"/>
              </w:rPr>
            </w:pPr>
            <w:r w:rsidRPr="000B2620">
              <w:rPr>
                <w:rFonts w:ascii="Arial" w:hAnsi="Arial" w:cs="Arial"/>
                <w:bCs/>
                <w:color w:val="000000" w:themeColor="text1"/>
              </w:rPr>
              <w:sym w:font="Wingdings" w:char="F0E2"/>
            </w:r>
          </w:p>
        </w:tc>
      </w:tr>
      <w:tr w:rsidR="000B2620" w:rsidRPr="000B2620" w14:paraId="62B659C7" w14:textId="77777777" w:rsidTr="000B2620">
        <w:trPr>
          <w:jc w:val="center"/>
        </w:trPr>
        <w:tc>
          <w:tcPr>
            <w:tcW w:w="11194" w:type="dxa"/>
            <w:tcBorders>
              <w:top w:val="single" w:sz="4" w:space="0" w:color="000000"/>
              <w:left w:val="single" w:sz="4" w:space="0" w:color="000000"/>
              <w:bottom w:val="single" w:sz="4" w:space="0" w:color="000000"/>
              <w:right w:val="single" w:sz="4" w:space="0" w:color="000000"/>
            </w:tcBorders>
          </w:tcPr>
          <w:p w14:paraId="1C374CED" w14:textId="77777777" w:rsidR="000B2620" w:rsidRPr="000B2620" w:rsidRDefault="000B2620" w:rsidP="0000300E">
            <w:pPr>
              <w:spacing w:before="120" w:after="120"/>
              <w:rPr>
                <w:rFonts w:ascii="Arial" w:hAnsi="Arial" w:cs="Arial"/>
                <w:bCs/>
                <w:color w:val="000000" w:themeColor="text1"/>
              </w:rPr>
            </w:pPr>
            <w:r w:rsidRPr="000B2620">
              <w:rPr>
                <w:rFonts w:ascii="Arial" w:hAnsi="Arial" w:cs="Arial"/>
                <w:bCs/>
                <w:color w:val="000000" w:themeColor="text1"/>
              </w:rPr>
              <w:t>6. Legen Sie einen (Pflaster-)Verband an der Wunde an, um sie zu schützen.</w:t>
            </w:r>
          </w:p>
          <w:p w14:paraId="3C7EACC2" w14:textId="108EF3B9" w:rsidR="000B2620" w:rsidRPr="000B2620" w:rsidRDefault="000B2620" w:rsidP="000B2620">
            <w:pPr>
              <w:spacing w:before="120" w:after="120"/>
              <w:jc w:val="center"/>
              <w:rPr>
                <w:rFonts w:ascii="Arial" w:hAnsi="Arial" w:cs="Arial"/>
                <w:bCs/>
                <w:color w:val="000000" w:themeColor="text1"/>
              </w:rPr>
            </w:pPr>
            <w:r w:rsidRPr="000B2620">
              <w:rPr>
                <w:rFonts w:ascii="Arial" w:hAnsi="Arial" w:cs="Arial"/>
                <w:bCs/>
                <w:color w:val="000000" w:themeColor="text1"/>
              </w:rPr>
              <w:sym w:font="Wingdings" w:char="F0E2"/>
            </w:r>
          </w:p>
        </w:tc>
      </w:tr>
      <w:tr w:rsidR="000B2620" w:rsidRPr="000B2620" w14:paraId="0F96DCCF" w14:textId="77777777" w:rsidTr="000B2620">
        <w:trPr>
          <w:jc w:val="center"/>
        </w:trPr>
        <w:tc>
          <w:tcPr>
            <w:tcW w:w="11194" w:type="dxa"/>
            <w:tcBorders>
              <w:top w:val="single" w:sz="4" w:space="0" w:color="000000"/>
              <w:left w:val="single" w:sz="4" w:space="0" w:color="000000"/>
              <w:bottom w:val="single" w:sz="4" w:space="0" w:color="000000"/>
              <w:right w:val="single" w:sz="4" w:space="0" w:color="000000"/>
            </w:tcBorders>
          </w:tcPr>
          <w:p w14:paraId="4DD8A563" w14:textId="77777777" w:rsidR="000B2620" w:rsidRPr="000B2620" w:rsidRDefault="000B2620" w:rsidP="0000300E">
            <w:pPr>
              <w:spacing w:before="120" w:after="120"/>
              <w:rPr>
                <w:rFonts w:ascii="Arial" w:hAnsi="Arial" w:cs="Arial"/>
                <w:bCs/>
                <w:color w:val="000000" w:themeColor="text1"/>
              </w:rPr>
            </w:pPr>
            <w:r w:rsidRPr="000B2620">
              <w:rPr>
                <w:rFonts w:ascii="Arial" w:hAnsi="Arial" w:cs="Arial"/>
                <w:bCs/>
                <w:color w:val="000000" w:themeColor="text1"/>
              </w:rPr>
              <w:t>7. Führen Sie eine rasche Einschätzung der potenziellen Infektionsgefahr anhand der Akte und der Aussage des Pflegekunden durch.</w:t>
            </w:r>
          </w:p>
          <w:p w14:paraId="716D77B9" w14:textId="0B4D9C76" w:rsidR="000B2620" w:rsidRPr="000B2620" w:rsidRDefault="000B2620" w:rsidP="000B2620">
            <w:pPr>
              <w:spacing w:before="120" w:after="120"/>
              <w:jc w:val="center"/>
              <w:rPr>
                <w:rFonts w:ascii="Arial" w:hAnsi="Arial" w:cs="Arial"/>
                <w:bCs/>
                <w:color w:val="000000" w:themeColor="text1"/>
              </w:rPr>
            </w:pPr>
            <w:r w:rsidRPr="000B2620">
              <w:rPr>
                <w:rFonts w:ascii="Arial" w:hAnsi="Arial" w:cs="Arial"/>
                <w:bCs/>
                <w:color w:val="000000" w:themeColor="text1"/>
              </w:rPr>
              <w:sym w:font="Wingdings" w:char="F0E2"/>
            </w:r>
          </w:p>
        </w:tc>
      </w:tr>
      <w:tr w:rsidR="000B2620" w:rsidRPr="000B2620" w14:paraId="15B38F25" w14:textId="77777777" w:rsidTr="000B2620">
        <w:trPr>
          <w:jc w:val="center"/>
        </w:trPr>
        <w:tc>
          <w:tcPr>
            <w:tcW w:w="11194" w:type="dxa"/>
            <w:tcBorders>
              <w:top w:val="single" w:sz="4" w:space="0" w:color="000000"/>
              <w:left w:val="single" w:sz="4" w:space="0" w:color="000000"/>
              <w:bottom w:val="single" w:sz="4" w:space="0" w:color="000000"/>
              <w:right w:val="single" w:sz="4" w:space="0" w:color="000000"/>
            </w:tcBorders>
          </w:tcPr>
          <w:p w14:paraId="70DFE46E" w14:textId="011BAD23" w:rsidR="000B2620" w:rsidRPr="000B2620" w:rsidRDefault="000B2620" w:rsidP="000B2620">
            <w:pPr>
              <w:spacing w:before="120" w:after="120"/>
              <w:rPr>
                <w:rFonts w:ascii="Arial" w:hAnsi="Arial" w:cs="Arial"/>
                <w:bCs/>
                <w:color w:val="000000" w:themeColor="text1"/>
              </w:rPr>
            </w:pPr>
            <w:r w:rsidRPr="000B2620">
              <w:rPr>
                <w:rFonts w:ascii="Arial" w:hAnsi="Arial" w:cs="Arial"/>
                <w:bCs/>
                <w:color w:val="000000" w:themeColor="text1"/>
              </w:rPr>
              <w:t>8. Gehen Sie umgehend zu einem Durchgangsarzt. Dieser wird ebenfalls eine Informationssammlung durchführen. Nehmen Sie deshalb unbedingt das Stammblatt und weitere relevante Unterlagen des Pflegekunden mit.</w:t>
            </w:r>
          </w:p>
          <w:p w14:paraId="093DE6F6" w14:textId="77777777" w:rsidR="000B2620" w:rsidRPr="000B2620" w:rsidRDefault="000B2620" w:rsidP="000B2620">
            <w:pPr>
              <w:spacing w:before="120" w:after="120"/>
              <w:rPr>
                <w:rFonts w:ascii="Arial" w:hAnsi="Arial" w:cs="Arial"/>
                <w:bCs/>
                <w:color w:val="000000" w:themeColor="text1"/>
              </w:rPr>
            </w:pPr>
            <w:r w:rsidRPr="000B2620">
              <w:rPr>
                <w:rFonts w:ascii="Arial" w:hAnsi="Arial" w:cs="Arial"/>
                <w:bCs/>
                <w:color w:val="000000" w:themeColor="text1"/>
              </w:rPr>
              <w:t>Eine Blutabnahme zur Bestimmung Ihres aktuellen Immunstatus (Impfstatus Hepatitis B, Hepatitis-C-Status, HIV-Status) wird durchgeführt und gegebenenfalls wird eine Auffrischung der Hepatitis-B-Impfung vorgenommen. Falls ein Blutkontakt mit HIV möglich ist, erfolgt die Postexpositionsprophylaxe.</w:t>
            </w:r>
          </w:p>
          <w:p w14:paraId="4B76554F" w14:textId="26D223DD" w:rsidR="000B2620" w:rsidRPr="000B2620" w:rsidRDefault="000B2620" w:rsidP="000B2620">
            <w:pPr>
              <w:spacing w:before="120" w:after="120"/>
              <w:jc w:val="center"/>
              <w:rPr>
                <w:rFonts w:ascii="Arial" w:hAnsi="Arial" w:cs="Arial"/>
                <w:bCs/>
                <w:color w:val="000000" w:themeColor="text1"/>
              </w:rPr>
            </w:pPr>
            <w:r w:rsidRPr="000B2620">
              <w:rPr>
                <w:rFonts w:ascii="Arial" w:hAnsi="Arial" w:cs="Arial"/>
                <w:bCs/>
                <w:color w:val="000000" w:themeColor="text1"/>
              </w:rPr>
              <w:sym w:font="Wingdings" w:char="F0E2"/>
            </w:r>
          </w:p>
        </w:tc>
      </w:tr>
      <w:tr w:rsidR="000B2620" w:rsidRPr="000B2620" w14:paraId="1A590847" w14:textId="77777777" w:rsidTr="000B2620">
        <w:trPr>
          <w:jc w:val="center"/>
        </w:trPr>
        <w:tc>
          <w:tcPr>
            <w:tcW w:w="11194" w:type="dxa"/>
            <w:tcBorders>
              <w:top w:val="single" w:sz="4" w:space="0" w:color="000000"/>
              <w:left w:val="single" w:sz="4" w:space="0" w:color="000000"/>
              <w:bottom w:val="single" w:sz="4" w:space="0" w:color="000000"/>
              <w:right w:val="single" w:sz="4" w:space="0" w:color="000000"/>
            </w:tcBorders>
          </w:tcPr>
          <w:p w14:paraId="0929F325" w14:textId="77777777" w:rsidR="000B2620" w:rsidRPr="000B2620" w:rsidRDefault="000B2620" w:rsidP="0000300E">
            <w:pPr>
              <w:spacing w:before="120" w:after="120"/>
              <w:rPr>
                <w:rFonts w:ascii="Arial" w:hAnsi="Arial" w:cs="Arial"/>
                <w:bCs/>
                <w:color w:val="000000" w:themeColor="text1"/>
              </w:rPr>
            </w:pPr>
            <w:r w:rsidRPr="000B2620">
              <w:rPr>
                <w:rFonts w:ascii="Arial" w:hAnsi="Arial" w:cs="Arial"/>
                <w:bCs/>
                <w:color w:val="000000" w:themeColor="text1"/>
              </w:rPr>
              <w:t>9. Sie dokumentieren den Vorfall in Ihrem Betrieb, indem Sie z. B. einen speziellen Meldebogen für Arbeitsunfälle ausfüllen. Die Unfallmeldung schickt Ihr Arbeitgeber dann an die Berufsgenossenschaft und an die Unfallversicherung.</w:t>
            </w:r>
          </w:p>
          <w:p w14:paraId="334933E8" w14:textId="29619368" w:rsidR="000B2620" w:rsidRPr="000B2620" w:rsidRDefault="000B2620" w:rsidP="000B2620">
            <w:pPr>
              <w:spacing w:before="120" w:after="120"/>
              <w:jc w:val="center"/>
              <w:rPr>
                <w:rFonts w:ascii="Arial" w:hAnsi="Arial" w:cs="Arial"/>
                <w:bCs/>
                <w:color w:val="000000" w:themeColor="text1"/>
              </w:rPr>
            </w:pPr>
            <w:r w:rsidRPr="000B2620">
              <w:rPr>
                <w:rFonts w:ascii="Arial" w:hAnsi="Arial" w:cs="Arial"/>
                <w:bCs/>
                <w:color w:val="000000" w:themeColor="text1"/>
              </w:rPr>
              <w:sym w:font="Wingdings" w:char="F0E2"/>
            </w:r>
          </w:p>
        </w:tc>
      </w:tr>
      <w:tr w:rsidR="000B2620" w:rsidRPr="000B2620" w14:paraId="0D57B904" w14:textId="77777777" w:rsidTr="000B2620">
        <w:trPr>
          <w:jc w:val="center"/>
        </w:trPr>
        <w:tc>
          <w:tcPr>
            <w:tcW w:w="11194" w:type="dxa"/>
            <w:tcBorders>
              <w:top w:val="single" w:sz="4" w:space="0" w:color="000000"/>
              <w:left w:val="single" w:sz="4" w:space="0" w:color="000000"/>
              <w:bottom w:val="single" w:sz="4" w:space="0" w:color="000000"/>
              <w:right w:val="single" w:sz="4" w:space="0" w:color="000000"/>
            </w:tcBorders>
          </w:tcPr>
          <w:p w14:paraId="5E1CA5B4" w14:textId="77777777" w:rsidR="000B2620" w:rsidRPr="000B2620" w:rsidRDefault="000B2620" w:rsidP="0000300E">
            <w:pPr>
              <w:spacing w:before="120" w:after="120"/>
              <w:rPr>
                <w:rFonts w:ascii="Arial" w:hAnsi="Arial" w:cs="Arial"/>
                <w:bCs/>
                <w:color w:val="000000" w:themeColor="text1"/>
              </w:rPr>
            </w:pPr>
            <w:r w:rsidRPr="000B2620">
              <w:rPr>
                <w:rFonts w:ascii="Arial" w:hAnsi="Arial" w:cs="Arial"/>
                <w:bCs/>
                <w:color w:val="000000" w:themeColor="text1"/>
              </w:rPr>
              <w:t>10. Beobachten Sie sich und Ihren Körper in den nächsten Tagen genau und handeln Sie bei eventuellen Symptomen, indem Sie alles sorgfältig dokumentieren und bei Bedarf nochmals den Arzt aufsuchen.</w:t>
            </w:r>
          </w:p>
          <w:p w14:paraId="071D627B" w14:textId="0C0DD5B1" w:rsidR="000B2620" w:rsidRPr="000B2620" w:rsidRDefault="000B2620" w:rsidP="000B2620">
            <w:pPr>
              <w:spacing w:before="120" w:after="120"/>
              <w:jc w:val="center"/>
              <w:rPr>
                <w:rFonts w:ascii="Arial" w:hAnsi="Arial" w:cs="Arial"/>
                <w:bCs/>
                <w:color w:val="000000" w:themeColor="text1"/>
              </w:rPr>
            </w:pPr>
            <w:r w:rsidRPr="000B2620">
              <w:rPr>
                <w:rFonts w:ascii="Arial" w:hAnsi="Arial" w:cs="Arial"/>
                <w:bCs/>
                <w:color w:val="000000" w:themeColor="text1"/>
              </w:rPr>
              <w:sym w:font="Wingdings" w:char="F0E2"/>
            </w:r>
          </w:p>
        </w:tc>
      </w:tr>
      <w:tr w:rsidR="000B2620" w:rsidRPr="000B2620" w14:paraId="1BEC5EFB" w14:textId="77777777" w:rsidTr="000B2620">
        <w:trPr>
          <w:jc w:val="center"/>
        </w:trPr>
        <w:tc>
          <w:tcPr>
            <w:tcW w:w="11194" w:type="dxa"/>
            <w:tcBorders>
              <w:top w:val="single" w:sz="4" w:space="0" w:color="000000"/>
              <w:left w:val="single" w:sz="4" w:space="0" w:color="000000"/>
              <w:bottom w:val="single" w:sz="4" w:space="0" w:color="000000"/>
              <w:right w:val="single" w:sz="4" w:space="0" w:color="000000"/>
            </w:tcBorders>
          </w:tcPr>
          <w:p w14:paraId="786D809F" w14:textId="017781F8" w:rsidR="000B2620" w:rsidRPr="000B2620" w:rsidRDefault="000B2620" w:rsidP="0000300E">
            <w:pPr>
              <w:spacing w:before="120" w:after="120"/>
              <w:rPr>
                <w:rFonts w:ascii="Arial" w:hAnsi="Arial" w:cs="Arial"/>
                <w:bCs/>
                <w:color w:val="000000" w:themeColor="text1"/>
              </w:rPr>
            </w:pPr>
            <w:r w:rsidRPr="000B2620">
              <w:rPr>
                <w:rFonts w:ascii="Arial" w:hAnsi="Arial" w:cs="Arial"/>
                <w:bCs/>
                <w:color w:val="000000" w:themeColor="text1"/>
              </w:rPr>
              <w:t>11. In den folgenden 6 Monaten erfolgen regelmäßige Blutentnahmen und Laborkontrollen.</w:t>
            </w:r>
          </w:p>
        </w:tc>
      </w:tr>
      <w:bookmarkEnd w:id="0"/>
    </w:tbl>
    <w:p w14:paraId="7EEE58DC" w14:textId="77777777" w:rsidR="00D10D40" w:rsidRDefault="00D10D40" w:rsidP="00C73E1A"/>
    <w:sectPr w:rsidR="00D10D40" w:rsidSect="000B2620">
      <w:headerReference w:type="default" r:id="rId9"/>
      <w:pgSz w:w="11906" w:h="16838" w:code="9"/>
      <w:pgMar w:top="-709" w:right="1418"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AB21D" w14:textId="77777777" w:rsidR="00AE4D06" w:rsidRDefault="00AE4D06" w:rsidP="002A5D13">
      <w:pPr>
        <w:spacing w:after="0" w:line="240" w:lineRule="auto"/>
      </w:pPr>
      <w:r>
        <w:separator/>
      </w:r>
    </w:p>
  </w:endnote>
  <w:endnote w:type="continuationSeparator" w:id="0">
    <w:p w14:paraId="5CB9BD1C" w14:textId="77777777" w:rsidR="00AE4D06" w:rsidRDefault="00AE4D06"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SemiBold">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388EB" w14:textId="77777777" w:rsidR="00AE4D06" w:rsidRDefault="00AE4D06" w:rsidP="002A5D13">
      <w:pPr>
        <w:spacing w:after="0" w:line="240" w:lineRule="auto"/>
      </w:pPr>
      <w:r>
        <w:separator/>
      </w:r>
    </w:p>
  </w:footnote>
  <w:footnote w:type="continuationSeparator" w:id="0">
    <w:p w14:paraId="0A9E5783" w14:textId="77777777" w:rsidR="00AE4D06" w:rsidRDefault="00AE4D06"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4D1B10A3" w14:textId="77777777" w:rsidTr="00D10D40">
      <w:tc>
        <w:tcPr>
          <w:tcW w:w="1500" w:type="pct"/>
          <w:tcBorders>
            <w:bottom w:val="single" w:sz="4" w:space="0" w:color="auto"/>
          </w:tcBorders>
          <w:shd w:val="clear" w:color="auto" w:fill="193965"/>
          <w:vAlign w:val="center"/>
        </w:tcPr>
        <w:p w14:paraId="4D9CA12B" w14:textId="548AA290" w:rsidR="007A7CA7" w:rsidRPr="007A7CA7" w:rsidRDefault="00D242BF" w:rsidP="005E1850">
          <w:pPr>
            <w:pStyle w:val="Kopfzeile"/>
            <w:jc w:val="center"/>
            <w:rPr>
              <w:b/>
              <w:color w:val="FFFFFF"/>
            </w:rPr>
          </w:pPr>
          <w:r>
            <w:rPr>
              <w:b/>
              <w:color w:val="FFFFFF"/>
              <w:sz w:val="24"/>
            </w:rPr>
            <w:t xml:space="preserve">Ausgabe </w:t>
          </w:r>
          <w:r w:rsidR="00E163C6">
            <w:rPr>
              <w:b/>
              <w:color w:val="FFFFFF"/>
              <w:sz w:val="24"/>
            </w:rPr>
            <w:t>0</w:t>
          </w:r>
          <w:r w:rsidR="00905925">
            <w:rPr>
              <w:b/>
              <w:color w:val="FFFFFF"/>
              <w:sz w:val="24"/>
            </w:rPr>
            <w:t>7</w:t>
          </w:r>
          <w:r w:rsidR="00826760">
            <w:rPr>
              <w:b/>
              <w:color w:val="FFFFFF"/>
              <w:sz w:val="24"/>
            </w:rPr>
            <w:t xml:space="preserve"> - 20</w:t>
          </w:r>
          <w:r w:rsidR="00017AB1">
            <w:rPr>
              <w:b/>
              <w:color w:val="FFFFFF"/>
              <w:sz w:val="24"/>
            </w:rPr>
            <w:t>2</w:t>
          </w:r>
          <w:r w:rsidR="00E163C6">
            <w:rPr>
              <w:b/>
              <w:color w:val="FFFFFF"/>
              <w:sz w:val="24"/>
            </w:rPr>
            <w:t>4</w:t>
          </w:r>
        </w:p>
      </w:tc>
      <w:tc>
        <w:tcPr>
          <w:tcW w:w="4000" w:type="pct"/>
          <w:tcBorders>
            <w:bottom w:val="single" w:sz="4" w:space="0" w:color="auto"/>
          </w:tcBorders>
          <w:vAlign w:val="bottom"/>
        </w:tcPr>
        <w:p w14:paraId="0CDFD6C6" w14:textId="754E3407" w:rsidR="007A7CA7" w:rsidRPr="0050689E" w:rsidRDefault="00A56A28" w:rsidP="007A7CA7">
          <w:pPr>
            <w:pStyle w:val="Kopfzeile"/>
            <w:rPr>
              <w:b/>
              <w:bCs/>
              <w:color w:val="76923C"/>
              <w:sz w:val="28"/>
            </w:rPr>
          </w:pPr>
          <w:r w:rsidRPr="00D10D40">
            <w:rPr>
              <w:color w:val="193965"/>
              <w:sz w:val="36"/>
            </w:rPr>
            <w:t>Praxis:</w:t>
          </w:r>
          <w:r w:rsidRPr="00D10D40">
            <w:rPr>
              <w:b/>
              <w:bCs/>
              <w:color w:val="193965"/>
              <w:sz w:val="36"/>
            </w:rPr>
            <w:t xml:space="preserve"> Alten</w:t>
          </w:r>
          <w:r w:rsidRPr="00D10D40">
            <w:rPr>
              <w:i/>
              <w:iCs/>
              <w:color w:val="81BF41"/>
              <w:sz w:val="36"/>
            </w:rPr>
            <w:t>pflege</w:t>
          </w:r>
        </w:p>
        <w:p w14:paraId="023F2FD8" w14:textId="029196EE" w:rsidR="007A7CA7" w:rsidRPr="007A7CA7" w:rsidRDefault="00D10D40" w:rsidP="007A7CA7">
          <w:pPr>
            <w:pStyle w:val="Kopfzeile"/>
            <w:rPr>
              <w:color w:val="000000"/>
              <w:sz w:val="24"/>
            </w:rPr>
          </w:pPr>
          <w:r w:rsidRPr="00D10D40">
            <w:rPr>
              <w:bCs/>
              <w:sz w:val="18"/>
            </w:rPr>
            <w:t>Wissen kompakt für ambulante und stationäre Pflegefachkräfte</w:t>
          </w:r>
        </w:p>
      </w:tc>
    </w:tr>
  </w:tbl>
  <w:p w14:paraId="225A2CA3" w14:textId="77777777" w:rsidR="007A7CA7" w:rsidRDefault="007A7CA7">
    <w:pPr>
      <w:pStyle w:val="Kopfzeile"/>
    </w:pPr>
  </w:p>
  <w:p w14:paraId="786F3783"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4"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65254855">
    <w:abstractNumId w:val="9"/>
  </w:num>
  <w:num w:numId="2" w16cid:durableId="110518625">
    <w:abstractNumId w:val="19"/>
  </w:num>
  <w:num w:numId="3" w16cid:durableId="1023476870">
    <w:abstractNumId w:val="21"/>
  </w:num>
  <w:num w:numId="4" w16cid:durableId="1632981953">
    <w:abstractNumId w:val="10"/>
  </w:num>
  <w:num w:numId="5" w16cid:durableId="334385539">
    <w:abstractNumId w:val="6"/>
  </w:num>
  <w:num w:numId="6" w16cid:durableId="292560944">
    <w:abstractNumId w:val="7"/>
  </w:num>
  <w:num w:numId="7" w16cid:durableId="617414864">
    <w:abstractNumId w:val="12"/>
  </w:num>
  <w:num w:numId="8" w16cid:durableId="1349798627">
    <w:abstractNumId w:val="11"/>
  </w:num>
  <w:num w:numId="9" w16cid:durableId="425809380">
    <w:abstractNumId w:val="8"/>
  </w:num>
  <w:num w:numId="10" w16cid:durableId="2045593739">
    <w:abstractNumId w:val="5"/>
  </w:num>
  <w:num w:numId="11" w16cid:durableId="2030179877">
    <w:abstractNumId w:val="20"/>
  </w:num>
  <w:num w:numId="12" w16cid:durableId="808983353">
    <w:abstractNumId w:val="14"/>
  </w:num>
  <w:num w:numId="13" w16cid:durableId="1540699642">
    <w:abstractNumId w:val="15"/>
  </w:num>
  <w:num w:numId="14" w16cid:durableId="1014500060">
    <w:abstractNumId w:val="13"/>
  </w:num>
  <w:num w:numId="15" w16cid:durableId="473067152">
    <w:abstractNumId w:val="16"/>
  </w:num>
  <w:num w:numId="16" w16cid:durableId="516389024">
    <w:abstractNumId w:val="17"/>
  </w:num>
  <w:num w:numId="17" w16cid:durableId="1666322767">
    <w:abstractNumId w:val="18"/>
  </w:num>
  <w:num w:numId="18" w16cid:durableId="1794514842">
    <w:abstractNumId w:val="4"/>
  </w:num>
  <w:num w:numId="19" w16cid:durableId="1643078212">
    <w:abstractNumId w:val="3"/>
  </w:num>
  <w:num w:numId="20" w16cid:durableId="682588562">
    <w:abstractNumId w:val="2"/>
  </w:num>
  <w:num w:numId="21" w16cid:durableId="1766802288">
    <w:abstractNumId w:val="1"/>
  </w:num>
  <w:num w:numId="22" w16cid:durableId="1246185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0300E"/>
    <w:rsid w:val="00017AB1"/>
    <w:rsid w:val="00022C51"/>
    <w:rsid w:val="00032A0C"/>
    <w:rsid w:val="00070D06"/>
    <w:rsid w:val="000B2620"/>
    <w:rsid w:val="000B50CC"/>
    <w:rsid w:val="000C6A2D"/>
    <w:rsid w:val="000E54B5"/>
    <w:rsid w:val="0015409B"/>
    <w:rsid w:val="00197AF9"/>
    <w:rsid w:val="001B429B"/>
    <w:rsid w:val="00205D0C"/>
    <w:rsid w:val="0027096C"/>
    <w:rsid w:val="002766CF"/>
    <w:rsid w:val="0028515F"/>
    <w:rsid w:val="002A5D13"/>
    <w:rsid w:val="002B029B"/>
    <w:rsid w:val="002B4419"/>
    <w:rsid w:val="002D45E4"/>
    <w:rsid w:val="002E4378"/>
    <w:rsid w:val="002F7B4F"/>
    <w:rsid w:val="003676E3"/>
    <w:rsid w:val="00380EF0"/>
    <w:rsid w:val="003A1644"/>
    <w:rsid w:val="003E3400"/>
    <w:rsid w:val="0042075B"/>
    <w:rsid w:val="00433F51"/>
    <w:rsid w:val="004639C0"/>
    <w:rsid w:val="00475E98"/>
    <w:rsid w:val="004955F6"/>
    <w:rsid w:val="004A47F9"/>
    <w:rsid w:val="004C2396"/>
    <w:rsid w:val="004E6AAB"/>
    <w:rsid w:val="0050689E"/>
    <w:rsid w:val="00547B8D"/>
    <w:rsid w:val="00551B88"/>
    <w:rsid w:val="00587D31"/>
    <w:rsid w:val="005E1850"/>
    <w:rsid w:val="00614D0A"/>
    <w:rsid w:val="00653E72"/>
    <w:rsid w:val="00661981"/>
    <w:rsid w:val="006A5CFE"/>
    <w:rsid w:val="006E18EF"/>
    <w:rsid w:val="0077330A"/>
    <w:rsid w:val="00782522"/>
    <w:rsid w:val="007A7CA7"/>
    <w:rsid w:val="007B0290"/>
    <w:rsid w:val="007C0AE5"/>
    <w:rsid w:val="007E1A2E"/>
    <w:rsid w:val="00826760"/>
    <w:rsid w:val="00841FA8"/>
    <w:rsid w:val="00852BFB"/>
    <w:rsid w:val="008633AC"/>
    <w:rsid w:val="00887070"/>
    <w:rsid w:val="008B1F83"/>
    <w:rsid w:val="008E62B1"/>
    <w:rsid w:val="00905925"/>
    <w:rsid w:val="00937B0B"/>
    <w:rsid w:val="009433D9"/>
    <w:rsid w:val="00983536"/>
    <w:rsid w:val="009B721F"/>
    <w:rsid w:val="009C06A2"/>
    <w:rsid w:val="009D2836"/>
    <w:rsid w:val="00A06C64"/>
    <w:rsid w:val="00A56A28"/>
    <w:rsid w:val="00AC136E"/>
    <w:rsid w:val="00AE4D06"/>
    <w:rsid w:val="00B01FFE"/>
    <w:rsid w:val="00B707AF"/>
    <w:rsid w:val="00B87D52"/>
    <w:rsid w:val="00BC398F"/>
    <w:rsid w:val="00BD71E9"/>
    <w:rsid w:val="00C135D1"/>
    <w:rsid w:val="00C310AF"/>
    <w:rsid w:val="00C73E1A"/>
    <w:rsid w:val="00CA1A10"/>
    <w:rsid w:val="00CC38C8"/>
    <w:rsid w:val="00D10D40"/>
    <w:rsid w:val="00D242BF"/>
    <w:rsid w:val="00D86187"/>
    <w:rsid w:val="00DB32C7"/>
    <w:rsid w:val="00DD54CC"/>
    <w:rsid w:val="00E163C6"/>
    <w:rsid w:val="00E17069"/>
    <w:rsid w:val="00E2265E"/>
    <w:rsid w:val="00EA5F7F"/>
    <w:rsid w:val="00ED3984"/>
    <w:rsid w:val="00F12F5E"/>
    <w:rsid w:val="00F20663"/>
    <w:rsid w:val="00F64056"/>
    <w:rsid w:val="00FA19D7"/>
    <w:rsid w:val="00FB3A5A"/>
    <w:rsid w:val="00FC278E"/>
    <w:rsid w:val="00FE73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23204D"/>
  <w15:chartTrackingRefBased/>
  <w15:docId w15:val="{96E791A6-8852-478C-84C8-2851535F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customStyle="1" w:styleId="Pa2">
    <w:name w:val="Pa2"/>
    <w:basedOn w:val="Standard"/>
    <w:next w:val="Standard"/>
    <w:uiPriority w:val="99"/>
    <w:rsid w:val="00D10D40"/>
    <w:pPr>
      <w:autoSpaceDE w:val="0"/>
      <w:autoSpaceDN w:val="0"/>
      <w:adjustRightInd w:val="0"/>
      <w:spacing w:after="0" w:line="181" w:lineRule="atLeast"/>
    </w:pPr>
    <w:rPr>
      <w:rFonts w:ascii="Montserrat SemiBold" w:hAnsi="Montserrat SemiBold"/>
      <w:sz w:val="24"/>
      <w:szCs w:val="24"/>
      <w:lang w:eastAsia="de-DE"/>
    </w:rPr>
  </w:style>
  <w:style w:type="character" w:customStyle="1" w:styleId="A10">
    <w:name w:val="A10"/>
    <w:uiPriority w:val="99"/>
    <w:rsid w:val="00D10D40"/>
    <w:rPr>
      <w:rFonts w:cs="Montserrat SemiBold"/>
      <w:b/>
      <w:bCs/>
      <w:color w:val="211D1E"/>
      <w:sz w:val="22"/>
      <w:szCs w:val="22"/>
    </w:rPr>
  </w:style>
  <w:style w:type="paragraph" w:customStyle="1" w:styleId="Pa15">
    <w:name w:val="Pa15"/>
    <w:basedOn w:val="Standard"/>
    <w:next w:val="Standard"/>
    <w:uiPriority w:val="99"/>
    <w:rsid w:val="00D10D40"/>
    <w:pPr>
      <w:autoSpaceDE w:val="0"/>
      <w:autoSpaceDN w:val="0"/>
      <w:adjustRightInd w:val="0"/>
      <w:spacing w:after="0" w:line="181" w:lineRule="atLeast"/>
    </w:pPr>
    <w:rPr>
      <w:rFonts w:ascii="Montserrat SemiBold" w:hAnsi="Montserrat SemiBold"/>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1" ma:contentTypeDescription="Ein neues Dokument erstellen." ma:contentTypeScope="" ma:versionID="1fa024b85d913a41c4f6461c7008ea21">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5b074225a328474738d15efaa4aa2088"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E372C6-78CF-47D5-8ED7-445AA5E1ABD0}">
  <ds:schemaRefs>
    <ds:schemaRef ds:uri="http://schemas.openxmlformats.org/officeDocument/2006/bibliography"/>
  </ds:schemaRefs>
</ds:datastoreItem>
</file>

<file path=customXml/itemProps3.xml><?xml version="1.0" encoding="utf-8"?>
<ds:datastoreItem xmlns:ds="http://schemas.openxmlformats.org/officeDocument/2006/customXml" ds:itemID="{A99E3180-1274-4E61-A513-085E1732A82D}"/>
</file>

<file path=customXml/itemProps4.xml><?xml version="1.0" encoding="utf-8"?>
<ds:datastoreItem xmlns:ds="http://schemas.openxmlformats.org/officeDocument/2006/customXml" ds:itemID="{88CEFCA2-2A25-4724-B79F-0CEADCABDFA6}"/>
</file>

<file path=customXml/itemProps5.xml><?xml version="1.0" encoding="utf-8"?>
<ds:datastoreItem xmlns:ds="http://schemas.openxmlformats.org/officeDocument/2006/customXml" ds:itemID="{234E4D27-8AB7-4A6E-8252-2B206FED96C5}"/>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1897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3</cp:revision>
  <cp:lastPrinted>2013-12-09T12:30:00Z</cp:lastPrinted>
  <dcterms:created xsi:type="dcterms:W3CDTF">2024-03-21T22:32:00Z</dcterms:created>
  <dcterms:modified xsi:type="dcterms:W3CDTF">2024-03-21T22:56:00Z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