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5DF36" w14:textId="77777777" w:rsidR="002A5D13" w:rsidRDefault="009C06A2" w:rsidP="007A7CA7">
      <w:pPr>
        <w:tabs>
          <w:tab w:val="left" w:pos="5280"/>
        </w:tabs>
        <w:rPr>
          <w:b/>
          <w:noProof/>
          <w:lang w:eastAsia="de-DE"/>
        </w:rPr>
      </w:pPr>
      <w:r>
        <w:rPr>
          <w:b/>
          <w:noProof/>
          <w:lang w:eastAsia="de-DE"/>
        </w:rPr>
        <w:t xml:space="preserve"> </w:t>
      </w:r>
      <w:r w:rsidR="007A7CA7">
        <w:rPr>
          <w:b/>
          <w:noProof/>
          <w:lang w:eastAsia="de-DE"/>
        </w:rPr>
        <w:tab/>
      </w:r>
    </w:p>
    <w:p w14:paraId="7AF2898B" w14:textId="110B38BA" w:rsidR="00EE47B3" w:rsidRDefault="007A7CA7" w:rsidP="00796F06">
      <w:pPr>
        <w:tabs>
          <w:tab w:val="left" w:pos="1365"/>
          <w:tab w:val="left" w:pos="2430"/>
          <w:tab w:val="left" w:pos="4185"/>
          <w:tab w:val="left" w:pos="6900"/>
        </w:tabs>
      </w:pPr>
      <w:r>
        <w:tab/>
      </w:r>
      <w:r w:rsidR="005E1850">
        <w:tab/>
      </w:r>
      <w:r>
        <w:tab/>
      </w:r>
      <w:r w:rsidR="00B707AF">
        <w:tab/>
      </w:r>
    </w:p>
    <w:p w14:paraId="0ABD0DB9" w14:textId="77777777" w:rsidR="00796F06" w:rsidRDefault="00796F06" w:rsidP="001F6963">
      <w:pPr>
        <w:spacing w:before="120" w:after="120"/>
        <w:rPr>
          <w:rFonts w:ascii="Arial" w:hAnsi="Arial" w:cs="Arial"/>
          <w:bCs/>
          <w:color w:val="000000" w:themeColor="text1"/>
          <w:sz w:val="24"/>
          <w:szCs w:val="24"/>
        </w:rPr>
      </w:pPr>
    </w:p>
    <w:tbl>
      <w:tblPr>
        <w:tblStyle w:val="Tabellenraster"/>
        <w:tblW w:w="10343" w:type="dxa"/>
        <w:jc w:val="center"/>
        <w:shd w:val="clear" w:color="auto" w:fill="E2EFD9" w:themeFill="accent6" w:themeFillTint="33"/>
        <w:tblLook w:val="04A0" w:firstRow="1" w:lastRow="0" w:firstColumn="1" w:lastColumn="0" w:noHBand="0" w:noVBand="1"/>
      </w:tblPr>
      <w:tblGrid>
        <w:gridCol w:w="2122"/>
        <w:gridCol w:w="8221"/>
      </w:tblGrid>
      <w:tr w:rsidR="00796F06" w:rsidRPr="00796F06" w14:paraId="11356DA0" w14:textId="77777777" w:rsidTr="00796F06">
        <w:trPr>
          <w:jc w:val="center"/>
        </w:trPr>
        <w:tc>
          <w:tcPr>
            <w:tcW w:w="10343" w:type="dxa"/>
            <w:gridSpan w:val="2"/>
            <w:shd w:val="clear" w:color="auto" w:fill="193965"/>
          </w:tcPr>
          <w:p w14:paraId="0561BA51" w14:textId="77777777" w:rsidR="00796F06" w:rsidRPr="00796F06" w:rsidRDefault="00796F06" w:rsidP="00796F06">
            <w:pPr>
              <w:spacing w:before="120" w:after="120"/>
              <w:rPr>
                <w:rFonts w:ascii="Arial" w:hAnsi="Arial" w:cs="Arial"/>
                <w:b/>
                <w:color w:val="FFFFFF"/>
                <w:sz w:val="28"/>
                <w:szCs w:val="28"/>
              </w:rPr>
            </w:pPr>
            <w:r w:rsidRPr="00796F06">
              <w:rPr>
                <w:rFonts w:ascii="Arial" w:hAnsi="Arial" w:cs="Arial"/>
                <w:b/>
                <w:color w:val="FFFFFF"/>
                <w:sz w:val="28"/>
                <w:szCs w:val="28"/>
              </w:rPr>
              <w:t>Übersicht: 5 Kommunikationsstrategien für mehr Transparenz zu den Angehörigen</w:t>
            </w:r>
          </w:p>
        </w:tc>
      </w:tr>
      <w:tr w:rsidR="00796F06" w:rsidRPr="00796F06" w14:paraId="0418E48A" w14:textId="77777777" w:rsidTr="00796F06">
        <w:trPr>
          <w:jc w:val="center"/>
        </w:trPr>
        <w:tc>
          <w:tcPr>
            <w:tcW w:w="2122" w:type="dxa"/>
            <w:shd w:val="clear" w:color="auto" w:fill="C7E3AB"/>
          </w:tcPr>
          <w:p w14:paraId="49BB4F71" w14:textId="7999F92F" w:rsidR="00796F06" w:rsidRPr="00796F06" w:rsidRDefault="00796F06" w:rsidP="00796F06">
            <w:pPr>
              <w:spacing w:before="120" w:after="120"/>
              <w:rPr>
                <w:rFonts w:ascii="Arial" w:hAnsi="Arial" w:cs="Arial"/>
                <w:b/>
                <w:bCs/>
                <w:color w:val="000000" w:themeColor="text1"/>
                <w:sz w:val="24"/>
              </w:rPr>
            </w:pPr>
            <w:r w:rsidRPr="00796F06">
              <w:rPr>
                <w:rFonts w:ascii="Arial" w:hAnsi="Arial" w:cs="Arial"/>
                <w:b/>
                <w:bCs/>
                <w:color w:val="000000" w:themeColor="text1"/>
                <w:sz w:val="24"/>
              </w:rPr>
              <w:t xml:space="preserve">1. </w:t>
            </w:r>
            <w:r w:rsidRPr="00796F06">
              <w:rPr>
                <w:rFonts w:ascii="Arial" w:hAnsi="Arial" w:cs="Arial"/>
                <w:b/>
                <w:bCs/>
                <w:color w:val="000000" w:themeColor="text1"/>
                <w:sz w:val="24"/>
              </w:rPr>
              <w:t>Tipp: Tauschen Sie sich regelmäßig über den Gesundheits</w:t>
            </w:r>
            <w:r>
              <w:rPr>
                <w:rFonts w:ascii="Arial" w:hAnsi="Arial" w:cs="Arial"/>
                <w:b/>
                <w:bCs/>
                <w:color w:val="000000" w:themeColor="text1"/>
                <w:sz w:val="24"/>
              </w:rPr>
              <w:t>-</w:t>
            </w:r>
            <w:r w:rsidRPr="00796F06">
              <w:rPr>
                <w:rFonts w:ascii="Arial" w:hAnsi="Arial" w:cs="Arial"/>
                <w:b/>
                <w:bCs/>
                <w:color w:val="000000" w:themeColor="text1"/>
                <w:sz w:val="24"/>
              </w:rPr>
              <w:t>zustand aus</w:t>
            </w:r>
          </w:p>
        </w:tc>
        <w:tc>
          <w:tcPr>
            <w:tcW w:w="8221" w:type="dxa"/>
            <w:shd w:val="clear" w:color="auto" w:fill="auto"/>
          </w:tcPr>
          <w:p w14:paraId="31E3845C"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Halten Sie die Zugehörigen über den Gesundheitszustand des Pflegekunden auf dem Laufenden.</w:t>
            </w:r>
          </w:p>
          <w:p w14:paraId="00597CE4"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Geben Sie alle relevanten Informationen weiter und lassen Sie, sofern der zu Pflegende dem nicht widerspricht, auch eine Einsichtnahme in Arztbriefe etc. zu, um den Angehörigen das Gefühl zu geben, weiterhin am Leben und Wohlergehen des Pflegebedürftigen Anteil zu haben. </w:t>
            </w:r>
          </w:p>
        </w:tc>
      </w:tr>
      <w:tr w:rsidR="00796F06" w:rsidRPr="00796F06" w14:paraId="6173AC0F" w14:textId="77777777" w:rsidTr="00796F06">
        <w:trPr>
          <w:jc w:val="center"/>
        </w:trPr>
        <w:tc>
          <w:tcPr>
            <w:tcW w:w="2122" w:type="dxa"/>
            <w:shd w:val="clear" w:color="auto" w:fill="C7E3AB"/>
          </w:tcPr>
          <w:p w14:paraId="4A042DF8" w14:textId="39496484" w:rsidR="00796F06" w:rsidRPr="00796F06" w:rsidRDefault="00796F06" w:rsidP="00796F06">
            <w:pPr>
              <w:spacing w:before="120" w:after="120"/>
              <w:rPr>
                <w:rFonts w:ascii="Arial" w:hAnsi="Arial" w:cs="Arial"/>
                <w:b/>
                <w:bCs/>
                <w:color w:val="000000" w:themeColor="text1"/>
                <w:sz w:val="24"/>
              </w:rPr>
            </w:pPr>
            <w:r w:rsidRPr="00796F06">
              <w:rPr>
                <w:rFonts w:ascii="Arial" w:hAnsi="Arial" w:cs="Arial"/>
                <w:b/>
                <w:bCs/>
                <w:color w:val="000000" w:themeColor="text1"/>
                <w:sz w:val="24"/>
              </w:rPr>
              <w:t xml:space="preserve">2. </w:t>
            </w:r>
            <w:r w:rsidRPr="00796F06">
              <w:rPr>
                <w:rFonts w:ascii="Arial" w:hAnsi="Arial" w:cs="Arial"/>
                <w:b/>
                <w:bCs/>
                <w:color w:val="000000" w:themeColor="text1"/>
                <w:sz w:val="24"/>
              </w:rPr>
              <w:t>Tipp: Informieren Sie über Vorgänge in der Einrichtung</w:t>
            </w:r>
          </w:p>
        </w:tc>
        <w:tc>
          <w:tcPr>
            <w:tcW w:w="8221" w:type="dxa"/>
            <w:shd w:val="clear" w:color="auto" w:fill="auto"/>
          </w:tcPr>
          <w:p w14:paraId="1D644EE9"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Weisen Sie die Angehörigen auf die Website des Hauses hin. Dort sollten regelmäßig Berichte über besondere Veranstaltungen (z. B. Feste oder Ausflüge) veröffentlicht und mit ausdrucksstarken Bildern untermalt werden. Dies vermittelt den Zugehörigen das Gefühl, dass es den Pflegekunden gut geht und das Leben auch in einer Pflegeeinrichtung schöne Momente beinhaltet. </w:t>
            </w:r>
          </w:p>
          <w:p w14:paraId="2C33FCBD"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Eine Hauszeitung oder Fotowände mit regelmäßig aktualisierten Bildern vergangener Feste und Feiern sind ebenfalls gute Möglichkeiten, um Transparenz zu schaffen!</w:t>
            </w:r>
          </w:p>
        </w:tc>
      </w:tr>
      <w:tr w:rsidR="00796F06" w:rsidRPr="00796F06" w14:paraId="05B220C8" w14:textId="77777777" w:rsidTr="00796F06">
        <w:trPr>
          <w:jc w:val="center"/>
        </w:trPr>
        <w:tc>
          <w:tcPr>
            <w:tcW w:w="2122" w:type="dxa"/>
            <w:shd w:val="clear" w:color="auto" w:fill="C7E3AB"/>
          </w:tcPr>
          <w:p w14:paraId="2D9CADA4" w14:textId="5FF43C18" w:rsidR="00796F06" w:rsidRPr="00796F06" w:rsidRDefault="00796F06" w:rsidP="00796F06">
            <w:pPr>
              <w:spacing w:before="120" w:after="120"/>
              <w:rPr>
                <w:rFonts w:ascii="Arial" w:hAnsi="Arial" w:cs="Arial"/>
                <w:b/>
                <w:bCs/>
                <w:color w:val="000000" w:themeColor="text1"/>
                <w:sz w:val="24"/>
              </w:rPr>
            </w:pPr>
            <w:r w:rsidRPr="00796F06">
              <w:rPr>
                <w:rFonts w:ascii="Arial" w:hAnsi="Arial" w:cs="Arial"/>
                <w:b/>
                <w:bCs/>
                <w:color w:val="000000" w:themeColor="text1"/>
                <w:sz w:val="24"/>
              </w:rPr>
              <w:t xml:space="preserve">3. </w:t>
            </w:r>
            <w:r w:rsidRPr="00796F06">
              <w:rPr>
                <w:rFonts w:ascii="Arial" w:hAnsi="Arial" w:cs="Arial"/>
                <w:b/>
                <w:bCs/>
                <w:color w:val="000000" w:themeColor="text1"/>
                <w:sz w:val="24"/>
              </w:rPr>
              <w:t xml:space="preserve">Tipp: Bleiben Sie stets ehrlich </w:t>
            </w:r>
          </w:p>
        </w:tc>
        <w:tc>
          <w:tcPr>
            <w:tcW w:w="8221" w:type="dxa"/>
            <w:shd w:val="clear" w:color="auto" w:fill="auto"/>
          </w:tcPr>
          <w:p w14:paraId="6EBE3F85"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Halten Sie niemals wichtige Informationen zurück, auch wenn Fehler geschehen sind. </w:t>
            </w:r>
          </w:p>
          <w:p w14:paraId="1397D472"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Solange Sie offen und ehrlich mit den Angehörigen kommunizieren, wird deren Vertrauen in Sie gefördert. </w:t>
            </w:r>
          </w:p>
          <w:p w14:paraId="42BDC818"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Sollten Anverwandte hingegen bemerken, dass Sie ein geschöntes, unrealistisches Bild der Versorgungssituation zeichnen wollen, wird Misstrauen geschürt. </w:t>
            </w:r>
          </w:p>
        </w:tc>
      </w:tr>
      <w:tr w:rsidR="00796F06" w:rsidRPr="00796F06" w14:paraId="16F15A13" w14:textId="77777777" w:rsidTr="00796F06">
        <w:trPr>
          <w:jc w:val="center"/>
        </w:trPr>
        <w:tc>
          <w:tcPr>
            <w:tcW w:w="2122" w:type="dxa"/>
            <w:shd w:val="clear" w:color="auto" w:fill="C7E3AB"/>
          </w:tcPr>
          <w:p w14:paraId="1DA046E4" w14:textId="7AB29C55" w:rsidR="00796F06" w:rsidRPr="00796F06" w:rsidRDefault="00796F06" w:rsidP="00796F06">
            <w:pPr>
              <w:spacing w:before="120" w:after="120"/>
              <w:rPr>
                <w:rFonts w:ascii="Arial" w:hAnsi="Arial" w:cs="Arial"/>
                <w:b/>
                <w:bCs/>
                <w:color w:val="000000" w:themeColor="text1"/>
                <w:sz w:val="24"/>
              </w:rPr>
            </w:pPr>
            <w:r w:rsidRPr="00796F06">
              <w:rPr>
                <w:rFonts w:ascii="Arial" w:hAnsi="Arial" w:cs="Arial"/>
                <w:b/>
                <w:bCs/>
                <w:color w:val="000000" w:themeColor="text1"/>
                <w:sz w:val="24"/>
              </w:rPr>
              <w:t xml:space="preserve">4. </w:t>
            </w:r>
            <w:r w:rsidRPr="00796F06">
              <w:rPr>
                <w:rFonts w:ascii="Arial" w:hAnsi="Arial" w:cs="Arial"/>
                <w:b/>
                <w:bCs/>
                <w:color w:val="000000" w:themeColor="text1"/>
                <w:sz w:val="24"/>
              </w:rPr>
              <w:t>Tipp: Binden Sie die Angehörigen ein</w:t>
            </w:r>
          </w:p>
        </w:tc>
        <w:tc>
          <w:tcPr>
            <w:tcW w:w="8221" w:type="dxa"/>
            <w:shd w:val="clear" w:color="auto" w:fill="auto"/>
          </w:tcPr>
          <w:p w14:paraId="28CC4F14"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Zugehörige sollten aktiv in den Pflegeprozess eingebunden werden. Sie sind wichtige Partner im Pflegeprozess, z. B. in der </w:t>
            </w:r>
            <w:proofErr w:type="spellStart"/>
            <w:r w:rsidRPr="00796F06">
              <w:rPr>
                <w:rFonts w:ascii="Arial" w:eastAsiaTheme="minorHAnsi" w:hAnsi="Arial" w:cs="Arial"/>
                <w:color w:val="000000" w:themeColor="text1"/>
                <w:sz w:val="24"/>
              </w:rPr>
              <w:t>Biografiearbeit</w:t>
            </w:r>
            <w:proofErr w:type="spellEnd"/>
            <w:r w:rsidRPr="00796F06">
              <w:rPr>
                <w:rFonts w:ascii="Arial" w:eastAsiaTheme="minorHAnsi" w:hAnsi="Arial" w:cs="Arial"/>
                <w:color w:val="000000" w:themeColor="text1"/>
                <w:sz w:val="24"/>
              </w:rPr>
              <w:t>.</w:t>
            </w:r>
          </w:p>
          <w:p w14:paraId="41027939"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Wenn Sie die Anregungen und Meinungen der Familienmitglieder ernst nehmen, werden diese sich wertgeschätzt fühlen, was sich positiv auf die Beziehung zu Ihnen auswirken wird.</w:t>
            </w:r>
          </w:p>
        </w:tc>
      </w:tr>
      <w:tr w:rsidR="00796F06" w:rsidRPr="00796F06" w14:paraId="3C4BA194" w14:textId="77777777" w:rsidTr="00796F06">
        <w:trPr>
          <w:jc w:val="center"/>
        </w:trPr>
        <w:tc>
          <w:tcPr>
            <w:tcW w:w="2122" w:type="dxa"/>
            <w:shd w:val="clear" w:color="auto" w:fill="C7E3AB"/>
          </w:tcPr>
          <w:p w14:paraId="441940A0" w14:textId="73C3D109" w:rsidR="00796F06" w:rsidRPr="00796F06" w:rsidRDefault="00796F06" w:rsidP="00796F06">
            <w:pPr>
              <w:spacing w:before="120" w:after="120"/>
              <w:rPr>
                <w:rFonts w:ascii="Arial" w:hAnsi="Arial" w:cs="Arial"/>
                <w:b/>
                <w:bCs/>
                <w:color w:val="000000" w:themeColor="text1"/>
                <w:sz w:val="24"/>
              </w:rPr>
            </w:pPr>
            <w:r w:rsidRPr="00796F06">
              <w:rPr>
                <w:rFonts w:ascii="Arial" w:hAnsi="Arial" w:cs="Arial"/>
                <w:b/>
                <w:bCs/>
                <w:color w:val="000000" w:themeColor="text1"/>
                <w:sz w:val="24"/>
              </w:rPr>
              <w:t xml:space="preserve">5. </w:t>
            </w:r>
            <w:r w:rsidRPr="00796F06">
              <w:rPr>
                <w:rFonts w:ascii="Arial" w:hAnsi="Arial" w:cs="Arial"/>
                <w:b/>
                <w:bCs/>
                <w:color w:val="000000" w:themeColor="text1"/>
                <w:sz w:val="24"/>
              </w:rPr>
              <w:t>Tipp: Unterstützen und beraten Sie</w:t>
            </w:r>
          </w:p>
        </w:tc>
        <w:tc>
          <w:tcPr>
            <w:tcW w:w="8221" w:type="dxa"/>
            <w:shd w:val="clear" w:color="auto" w:fill="auto"/>
          </w:tcPr>
          <w:p w14:paraId="17D11D08"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 xml:space="preserve">Bieten Sie den Angehörigen Ihre Unterstützung an, um das bestehende Gefühlschaos zu bewältigen, z. B. indem Sie Kontakte zu anderen Zugehörigen herstellen oder auf Selbsthilfegruppen hinweisen. </w:t>
            </w:r>
          </w:p>
          <w:p w14:paraId="4C538CC1" w14:textId="77777777" w:rsidR="00796F06" w:rsidRPr="00796F06" w:rsidRDefault="00796F06" w:rsidP="00796F06">
            <w:pPr>
              <w:pStyle w:val="Listenabsatz"/>
              <w:numPr>
                <w:ilvl w:val="0"/>
                <w:numId w:val="30"/>
              </w:numPr>
              <w:spacing w:before="120" w:after="120" w:line="276" w:lineRule="auto"/>
              <w:ind w:left="320" w:hanging="218"/>
              <w:rPr>
                <w:rFonts w:ascii="Arial" w:eastAsiaTheme="minorHAnsi" w:hAnsi="Arial" w:cs="Arial"/>
                <w:color w:val="000000" w:themeColor="text1"/>
                <w:sz w:val="24"/>
              </w:rPr>
            </w:pPr>
            <w:r w:rsidRPr="00796F06">
              <w:rPr>
                <w:rFonts w:ascii="Arial" w:eastAsiaTheme="minorHAnsi" w:hAnsi="Arial" w:cs="Arial"/>
                <w:color w:val="000000" w:themeColor="text1"/>
                <w:sz w:val="24"/>
              </w:rPr>
              <w:t>Können die Anverwandten das Krankheitsbild des Pflegekunden nicht verstehen und nachempfinden, sollten Sie diese in hausinterne Fortbildungen einbinden. Warum nicht einfach einmal einen Zugehörigen als „Gasthörer“ zur nächsten Demenz-Schulung einladen? Durch ein besseres Krankheitsverständnis können Missverständnisse vermieden und auch ein zielgerichteter Umgang mit dem Pflegekunden gefördert werden.</w:t>
            </w:r>
          </w:p>
        </w:tc>
      </w:tr>
    </w:tbl>
    <w:p w14:paraId="2E8A295E" w14:textId="77777777" w:rsidR="00796F06" w:rsidRPr="001F6963" w:rsidRDefault="00796F06" w:rsidP="001F6963">
      <w:pPr>
        <w:spacing w:before="120" w:after="120"/>
        <w:rPr>
          <w:rFonts w:ascii="Arial" w:hAnsi="Arial" w:cs="Arial"/>
          <w:bCs/>
          <w:color w:val="000000" w:themeColor="text1"/>
          <w:sz w:val="24"/>
          <w:szCs w:val="24"/>
        </w:rPr>
      </w:pPr>
    </w:p>
    <w:sectPr w:rsidR="00796F06" w:rsidRPr="001F6963" w:rsidSect="00796F06">
      <w:headerReference w:type="default" r:id="rId9"/>
      <w:pgSz w:w="11906" w:h="16838" w:code="9"/>
      <w:pgMar w:top="-284"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AB21D" w14:textId="77777777" w:rsidR="00AE4D06" w:rsidRDefault="00AE4D06" w:rsidP="002A5D13">
      <w:pPr>
        <w:spacing w:after="0" w:line="240" w:lineRule="auto"/>
      </w:pPr>
      <w:r>
        <w:separator/>
      </w:r>
    </w:p>
  </w:endnote>
  <w:endnote w:type="continuationSeparator" w:id="0">
    <w:p w14:paraId="5CB9BD1C" w14:textId="77777777" w:rsidR="00AE4D06" w:rsidRDefault="00AE4D06"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388EB" w14:textId="77777777" w:rsidR="00AE4D06" w:rsidRDefault="00AE4D06" w:rsidP="002A5D13">
      <w:pPr>
        <w:spacing w:after="0" w:line="240" w:lineRule="auto"/>
      </w:pPr>
      <w:r>
        <w:separator/>
      </w:r>
    </w:p>
  </w:footnote>
  <w:footnote w:type="continuationSeparator" w:id="0">
    <w:p w14:paraId="0A9E5783" w14:textId="77777777" w:rsidR="00AE4D06" w:rsidRDefault="00AE4D06"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4D1B10A3" w14:textId="77777777" w:rsidTr="00D10D40">
      <w:tc>
        <w:tcPr>
          <w:tcW w:w="1500" w:type="pct"/>
          <w:tcBorders>
            <w:bottom w:val="single" w:sz="4" w:space="0" w:color="auto"/>
          </w:tcBorders>
          <w:shd w:val="clear" w:color="auto" w:fill="193965"/>
          <w:vAlign w:val="center"/>
        </w:tcPr>
        <w:p w14:paraId="4D9CA12B" w14:textId="109A56BD" w:rsidR="007A7CA7" w:rsidRPr="007A7CA7" w:rsidRDefault="00D242BF" w:rsidP="005E1850">
          <w:pPr>
            <w:pStyle w:val="Kopfzeile"/>
            <w:jc w:val="center"/>
            <w:rPr>
              <w:b/>
              <w:color w:val="FFFFFF"/>
            </w:rPr>
          </w:pPr>
          <w:r>
            <w:rPr>
              <w:b/>
              <w:color w:val="FFFFFF"/>
              <w:sz w:val="24"/>
            </w:rPr>
            <w:t xml:space="preserve">Ausgabe </w:t>
          </w:r>
          <w:r w:rsidR="00E163C6">
            <w:rPr>
              <w:b/>
              <w:color w:val="FFFFFF"/>
              <w:sz w:val="24"/>
            </w:rPr>
            <w:t>0</w:t>
          </w:r>
          <w:r w:rsidR="001F6963">
            <w:rPr>
              <w:b/>
              <w:color w:val="FFFFFF"/>
              <w:sz w:val="24"/>
            </w:rPr>
            <w:t>8</w:t>
          </w:r>
          <w:r w:rsidR="00826760">
            <w:rPr>
              <w:b/>
              <w:color w:val="FFFFFF"/>
              <w:sz w:val="24"/>
            </w:rPr>
            <w:t xml:space="preserve"> - 20</w:t>
          </w:r>
          <w:r w:rsidR="00017AB1">
            <w:rPr>
              <w:b/>
              <w:color w:val="FFFFFF"/>
              <w:sz w:val="24"/>
            </w:rPr>
            <w:t>2</w:t>
          </w:r>
          <w:r w:rsidR="00E163C6">
            <w:rPr>
              <w:b/>
              <w:color w:val="FFFFFF"/>
              <w:sz w:val="24"/>
            </w:rPr>
            <w:t>4</w:t>
          </w:r>
        </w:p>
      </w:tc>
      <w:tc>
        <w:tcPr>
          <w:tcW w:w="4000" w:type="pct"/>
          <w:tcBorders>
            <w:bottom w:val="single" w:sz="4" w:space="0" w:color="auto"/>
          </w:tcBorders>
          <w:vAlign w:val="bottom"/>
        </w:tcPr>
        <w:p w14:paraId="0CDFD6C6" w14:textId="754E3407" w:rsidR="007A7CA7" w:rsidRPr="0050689E" w:rsidRDefault="00A56A28" w:rsidP="007A7CA7">
          <w:pPr>
            <w:pStyle w:val="Kopfzeile"/>
            <w:rPr>
              <w:b/>
              <w:bCs/>
              <w:color w:val="76923C"/>
              <w:sz w:val="28"/>
            </w:rPr>
          </w:pPr>
          <w:r w:rsidRPr="00D10D40">
            <w:rPr>
              <w:color w:val="193965"/>
              <w:sz w:val="36"/>
            </w:rPr>
            <w:t>Praxis:</w:t>
          </w:r>
          <w:r w:rsidRPr="00D10D40">
            <w:rPr>
              <w:b/>
              <w:bCs/>
              <w:color w:val="193965"/>
              <w:sz w:val="36"/>
            </w:rPr>
            <w:t xml:space="preserve"> Alten</w:t>
          </w:r>
          <w:r w:rsidRPr="00D10D40">
            <w:rPr>
              <w:i/>
              <w:iCs/>
              <w:color w:val="81BF41"/>
              <w:sz w:val="36"/>
            </w:rPr>
            <w:t>pflege</w:t>
          </w:r>
        </w:p>
        <w:p w14:paraId="023F2FD8" w14:textId="029196EE" w:rsidR="007A7CA7" w:rsidRPr="007A7CA7" w:rsidRDefault="00D10D40" w:rsidP="007A7CA7">
          <w:pPr>
            <w:pStyle w:val="Kopfzeile"/>
            <w:rPr>
              <w:color w:val="000000"/>
              <w:sz w:val="24"/>
            </w:rPr>
          </w:pPr>
          <w:r w:rsidRPr="00D10D40">
            <w:rPr>
              <w:bCs/>
              <w:sz w:val="18"/>
            </w:rPr>
            <w:t>Wissen kompakt für ambulante und stationäre Pflegefachkräfte</w:t>
          </w:r>
        </w:p>
      </w:tc>
    </w:tr>
  </w:tbl>
  <w:p w14:paraId="225A2CA3" w14:textId="77777777" w:rsidR="007A7CA7" w:rsidRDefault="007A7CA7">
    <w:pPr>
      <w:pStyle w:val="Kopfzeile"/>
    </w:pPr>
  </w:p>
  <w:p w14:paraId="786F3783"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663C4"/>
    <w:multiLevelType w:val="hybridMultilevel"/>
    <w:tmpl w:val="290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C73D65"/>
    <w:multiLevelType w:val="hybridMultilevel"/>
    <w:tmpl w:val="FC1090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A90530"/>
    <w:multiLevelType w:val="hybridMultilevel"/>
    <w:tmpl w:val="315C19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5E39D3"/>
    <w:multiLevelType w:val="hybridMultilevel"/>
    <w:tmpl w:val="26946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EB7657"/>
    <w:multiLevelType w:val="hybridMultilevel"/>
    <w:tmpl w:val="6FB61E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932717"/>
    <w:multiLevelType w:val="hybridMultilevel"/>
    <w:tmpl w:val="A9E663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D800B48"/>
    <w:multiLevelType w:val="hybridMultilevel"/>
    <w:tmpl w:val="D7427B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885DD0"/>
    <w:multiLevelType w:val="hybridMultilevel"/>
    <w:tmpl w:val="79D2DB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65254855">
    <w:abstractNumId w:val="14"/>
  </w:num>
  <w:num w:numId="2" w16cid:durableId="110518625">
    <w:abstractNumId w:val="25"/>
  </w:num>
  <w:num w:numId="3" w16cid:durableId="1023476870">
    <w:abstractNumId w:val="28"/>
  </w:num>
  <w:num w:numId="4" w16cid:durableId="1632981953">
    <w:abstractNumId w:val="15"/>
  </w:num>
  <w:num w:numId="5" w16cid:durableId="334385539">
    <w:abstractNumId w:val="7"/>
  </w:num>
  <w:num w:numId="6" w16cid:durableId="292560944">
    <w:abstractNumId w:val="12"/>
  </w:num>
  <w:num w:numId="7" w16cid:durableId="617414864">
    <w:abstractNumId w:val="18"/>
  </w:num>
  <w:num w:numId="8" w16cid:durableId="1349798627">
    <w:abstractNumId w:val="17"/>
  </w:num>
  <w:num w:numId="9" w16cid:durableId="425809380">
    <w:abstractNumId w:val="13"/>
  </w:num>
  <w:num w:numId="10" w16cid:durableId="2045593739">
    <w:abstractNumId w:val="6"/>
  </w:num>
  <w:num w:numId="11" w16cid:durableId="2030179877">
    <w:abstractNumId w:val="26"/>
  </w:num>
  <w:num w:numId="12" w16cid:durableId="808983353">
    <w:abstractNumId w:val="20"/>
  </w:num>
  <w:num w:numId="13" w16cid:durableId="1540699642">
    <w:abstractNumId w:val="21"/>
  </w:num>
  <w:num w:numId="14" w16cid:durableId="1014500060">
    <w:abstractNumId w:val="19"/>
  </w:num>
  <w:num w:numId="15" w16cid:durableId="473067152">
    <w:abstractNumId w:val="22"/>
  </w:num>
  <w:num w:numId="16" w16cid:durableId="516389024">
    <w:abstractNumId w:val="23"/>
  </w:num>
  <w:num w:numId="17" w16cid:durableId="1666322767">
    <w:abstractNumId w:val="24"/>
  </w:num>
  <w:num w:numId="18" w16cid:durableId="1794514842">
    <w:abstractNumId w:val="4"/>
  </w:num>
  <w:num w:numId="19" w16cid:durableId="1643078212">
    <w:abstractNumId w:val="3"/>
  </w:num>
  <w:num w:numId="20" w16cid:durableId="682588562">
    <w:abstractNumId w:val="2"/>
  </w:num>
  <w:num w:numId="21" w16cid:durableId="1766802288">
    <w:abstractNumId w:val="1"/>
  </w:num>
  <w:num w:numId="22" w16cid:durableId="1246185949">
    <w:abstractNumId w:val="0"/>
  </w:num>
  <w:num w:numId="23" w16cid:durableId="1782339716">
    <w:abstractNumId w:val="5"/>
  </w:num>
  <w:num w:numId="24" w16cid:durableId="1610577544">
    <w:abstractNumId w:val="16"/>
  </w:num>
  <w:num w:numId="25" w16cid:durableId="933900912">
    <w:abstractNumId w:val="27"/>
  </w:num>
  <w:num w:numId="26" w16cid:durableId="719666067">
    <w:abstractNumId w:val="11"/>
  </w:num>
  <w:num w:numId="27" w16cid:durableId="1030181940">
    <w:abstractNumId w:val="9"/>
  </w:num>
  <w:num w:numId="28" w16cid:durableId="667562138">
    <w:abstractNumId w:val="29"/>
  </w:num>
  <w:num w:numId="29" w16cid:durableId="395056459">
    <w:abstractNumId w:val="10"/>
  </w:num>
  <w:num w:numId="30" w16cid:durableId="11769921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17AB1"/>
    <w:rsid w:val="00022C51"/>
    <w:rsid w:val="00032A0C"/>
    <w:rsid w:val="00070D06"/>
    <w:rsid w:val="000B50CC"/>
    <w:rsid w:val="000C6A2D"/>
    <w:rsid w:val="000E54B5"/>
    <w:rsid w:val="0015409B"/>
    <w:rsid w:val="001938B8"/>
    <w:rsid w:val="00197AF9"/>
    <w:rsid w:val="001B429B"/>
    <w:rsid w:val="001F6963"/>
    <w:rsid w:val="00205D0C"/>
    <w:rsid w:val="0027096C"/>
    <w:rsid w:val="002766CF"/>
    <w:rsid w:val="0028515F"/>
    <w:rsid w:val="002A5D13"/>
    <w:rsid w:val="002B029B"/>
    <w:rsid w:val="002B4419"/>
    <w:rsid w:val="002D45E4"/>
    <w:rsid w:val="002E4378"/>
    <w:rsid w:val="002F7B4F"/>
    <w:rsid w:val="003676E3"/>
    <w:rsid w:val="00380EF0"/>
    <w:rsid w:val="003A1644"/>
    <w:rsid w:val="003E3400"/>
    <w:rsid w:val="0042075B"/>
    <w:rsid w:val="00433F51"/>
    <w:rsid w:val="004639C0"/>
    <w:rsid w:val="00475E98"/>
    <w:rsid w:val="004955F6"/>
    <w:rsid w:val="004A47F9"/>
    <w:rsid w:val="004C2396"/>
    <w:rsid w:val="004E6AAB"/>
    <w:rsid w:val="0050689E"/>
    <w:rsid w:val="00547B8D"/>
    <w:rsid w:val="00551B88"/>
    <w:rsid w:val="00587D31"/>
    <w:rsid w:val="005E1850"/>
    <w:rsid w:val="00614D0A"/>
    <w:rsid w:val="00653E72"/>
    <w:rsid w:val="00661981"/>
    <w:rsid w:val="006A5CFE"/>
    <w:rsid w:val="006E18EF"/>
    <w:rsid w:val="00723B01"/>
    <w:rsid w:val="0077330A"/>
    <w:rsid w:val="00782522"/>
    <w:rsid w:val="00796F06"/>
    <w:rsid w:val="007A7CA7"/>
    <w:rsid w:val="007B0290"/>
    <w:rsid w:val="007C0AE5"/>
    <w:rsid w:val="007E1A2E"/>
    <w:rsid w:val="00826760"/>
    <w:rsid w:val="00841FA8"/>
    <w:rsid w:val="00852BFB"/>
    <w:rsid w:val="008633AC"/>
    <w:rsid w:val="00887070"/>
    <w:rsid w:val="008B1F83"/>
    <w:rsid w:val="008E62B1"/>
    <w:rsid w:val="00937B0B"/>
    <w:rsid w:val="009433D9"/>
    <w:rsid w:val="00983536"/>
    <w:rsid w:val="0099471E"/>
    <w:rsid w:val="009B721F"/>
    <w:rsid w:val="009C06A2"/>
    <w:rsid w:val="009D2836"/>
    <w:rsid w:val="00A06C64"/>
    <w:rsid w:val="00A56A28"/>
    <w:rsid w:val="00AC136E"/>
    <w:rsid w:val="00AE4D06"/>
    <w:rsid w:val="00B01FFE"/>
    <w:rsid w:val="00B707AF"/>
    <w:rsid w:val="00B87D52"/>
    <w:rsid w:val="00BC398F"/>
    <w:rsid w:val="00BD71E9"/>
    <w:rsid w:val="00C135D1"/>
    <w:rsid w:val="00C310AF"/>
    <w:rsid w:val="00C73E1A"/>
    <w:rsid w:val="00CA1A10"/>
    <w:rsid w:val="00CC38C8"/>
    <w:rsid w:val="00D10D40"/>
    <w:rsid w:val="00D242BF"/>
    <w:rsid w:val="00D86187"/>
    <w:rsid w:val="00DA38D0"/>
    <w:rsid w:val="00DB32C7"/>
    <w:rsid w:val="00DD54CC"/>
    <w:rsid w:val="00E163C6"/>
    <w:rsid w:val="00E17069"/>
    <w:rsid w:val="00E2265E"/>
    <w:rsid w:val="00EA5F7F"/>
    <w:rsid w:val="00ED3984"/>
    <w:rsid w:val="00EE47B3"/>
    <w:rsid w:val="00F12F5E"/>
    <w:rsid w:val="00F20663"/>
    <w:rsid w:val="00F64056"/>
    <w:rsid w:val="00FA19D7"/>
    <w:rsid w:val="00FB3A5A"/>
    <w:rsid w:val="00FC278E"/>
    <w:rsid w:val="00FE73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23204D"/>
  <w15:chartTrackingRefBased/>
  <w15:docId w15:val="{96E791A6-8852-478C-84C8-2851535F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Pa2">
    <w:name w:val="Pa2"/>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character" w:customStyle="1" w:styleId="A10">
    <w:name w:val="A10"/>
    <w:uiPriority w:val="99"/>
    <w:rsid w:val="00D10D40"/>
    <w:rPr>
      <w:rFonts w:cs="Montserrat SemiBold"/>
      <w:b/>
      <w:bCs/>
      <w:color w:val="211D1E"/>
      <w:sz w:val="22"/>
      <w:szCs w:val="22"/>
    </w:rPr>
  </w:style>
  <w:style w:type="paragraph" w:customStyle="1" w:styleId="Pa15">
    <w:name w:val="Pa15"/>
    <w:basedOn w:val="Standard"/>
    <w:next w:val="Standard"/>
    <w:uiPriority w:val="99"/>
    <w:rsid w:val="00D10D40"/>
    <w:pPr>
      <w:autoSpaceDE w:val="0"/>
      <w:autoSpaceDN w:val="0"/>
      <w:adjustRightInd w:val="0"/>
      <w:spacing w:after="0" w:line="181" w:lineRule="atLeast"/>
    </w:pPr>
    <w:rPr>
      <w:rFonts w:ascii="Montserrat SemiBold" w:hAnsi="Montserrat SemiBold"/>
      <w:sz w:val="24"/>
      <w:szCs w:val="24"/>
      <w:lang w:eastAsia="de-DE"/>
    </w:rPr>
  </w:style>
  <w:style w:type="table" w:styleId="Tabellenraster">
    <w:name w:val="Table Grid"/>
    <w:basedOn w:val="NormaleTabelle"/>
    <w:uiPriority w:val="39"/>
    <w:rsid w:val="001F69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E372C6-78CF-47D5-8ED7-445AA5E1ABD0}">
  <ds:schemaRefs>
    <ds:schemaRef ds:uri="http://schemas.openxmlformats.org/officeDocument/2006/bibliography"/>
  </ds:schemaRefs>
</ds:datastoreItem>
</file>

<file path=customXml/itemProps3.xml><?xml version="1.0" encoding="utf-8"?>
<ds:datastoreItem xmlns:ds="http://schemas.openxmlformats.org/officeDocument/2006/customXml" ds:itemID="{CE8DE4A1-0A25-4943-A55D-5F1FA913E4DF}"/>
</file>

<file path=customXml/itemProps4.xml><?xml version="1.0" encoding="utf-8"?>
<ds:datastoreItem xmlns:ds="http://schemas.openxmlformats.org/officeDocument/2006/customXml" ds:itemID="{2271925D-B96E-4463-A3D4-51CADBBA543D}"/>
</file>

<file path=customXml/itemProps5.xml><?xml version="1.0" encoding="utf-8"?>
<ds:datastoreItem xmlns:ds="http://schemas.openxmlformats.org/officeDocument/2006/customXml" ds:itemID="{2EF926CB-2E4C-4173-BB41-9573029A96B0}"/>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2134</Characters>
  <Application>Microsoft Office Word</Application>
  <DocSecurity>0</DocSecurity>
  <Lines>177</Lines>
  <Paragraphs>130</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2024-04-05T14:53:00Z</dcterms:created>
  <dcterms:modified xsi:type="dcterms:W3CDTF">2024-04-05T14:53:00Z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