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67BBE68" w14:textId="201B718C" w:rsidR="00ED2950" w:rsidRPr="00ED2950" w:rsidRDefault="006E18EF" w:rsidP="00ED2950">
      <w:pPr>
        <w:tabs>
          <w:tab w:val="left" w:pos="2430"/>
        </w:tabs>
        <w:rPr>
          <w:rFonts w:ascii="Arial" w:eastAsiaTheme="minorHAnsi" w:hAnsi="Arial" w:cs="Arial"/>
          <w:b/>
          <w:color w:val="FFFFFF"/>
          <w:sz w:val="28"/>
          <w:szCs w:val="28"/>
        </w:rPr>
      </w:pPr>
      <w:r>
        <w:tab/>
      </w:r>
    </w:p>
    <w:tbl>
      <w:tblPr>
        <w:tblStyle w:val="Tabellenraster"/>
        <w:tblW w:w="10768" w:type="dxa"/>
        <w:jc w:val="center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2538"/>
        <w:gridCol w:w="8230"/>
      </w:tblGrid>
      <w:tr w:rsidR="00ED2950" w:rsidRPr="00ED2950" w14:paraId="1B8294A1" w14:textId="77777777" w:rsidTr="00ED2950">
        <w:trPr>
          <w:jc w:val="center"/>
        </w:trPr>
        <w:tc>
          <w:tcPr>
            <w:tcW w:w="10768" w:type="dxa"/>
            <w:gridSpan w:val="2"/>
            <w:shd w:val="clear" w:color="auto" w:fill="193965"/>
          </w:tcPr>
          <w:p w14:paraId="3E173615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D2950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Präventionsmaßnahmen bei diabetischem Fußsyndrom (DFS)</w:t>
            </w:r>
          </w:p>
        </w:tc>
      </w:tr>
      <w:tr w:rsidR="00ED2950" w:rsidRPr="00ED2950" w14:paraId="5DB6F8FE" w14:textId="77777777" w:rsidTr="00ED2950">
        <w:trPr>
          <w:jc w:val="center"/>
        </w:trPr>
        <w:tc>
          <w:tcPr>
            <w:tcW w:w="10768" w:type="dxa"/>
            <w:gridSpan w:val="2"/>
            <w:shd w:val="clear" w:color="auto" w:fill="C7E3AB"/>
          </w:tcPr>
          <w:p w14:paraId="7B8CA586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Aufklärung und Unterweisung</w:t>
            </w:r>
          </w:p>
        </w:tc>
      </w:tr>
      <w:tr w:rsidR="00ED2950" w:rsidRPr="00ED2950" w14:paraId="3299A6F1" w14:textId="77777777" w:rsidTr="00ED2950">
        <w:trPr>
          <w:jc w:val="center"/>
        </w:trPr>
        <w:tc>
          <w:tcPr>
            <w:tcW w:w="2263" w:type="dxa"/>
            <w:shd w:val="clear" w:color="auto" w:fill="auto"/>
          </w:tcPr>
          <w:p w14:paraId="4F7B1717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Aufklärung der Pflegekunden</w:t>
            </w:r>
          </w:p>
        </w:tc>
        <w:tc>
          <w:tcPr>
            <w:tcW w:w="8505" w:type="dxa"/>
            <w:shd w:val="clear" w:color="auto" w:fill="auto"/>
          </w:tcPr>
          <w:p w14:paraId="4031BFFF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Gefährdete Pflegekunden sollten Sie auf die Bedeutung der Fußpflege hinweisen.</w:t>
            </w:r>
          </w:p>
          <w:p w14:paraId="4F9F7007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Sensibilisieren Sie für die Notwendigkeit regelmäßiger Inaugenscheinnahme der Füße.</w:t>
            </w:r>
          </w:p>
        </w:tc>
      </w:tr>
      <w:tr w:rsidR="00ED2950" w:rsidRPr="00ED2950" w14:paraId="18DFE80F" w14:textId="77777777" w:rsidTr="00ED2950">
        <w:trPr>
          <w:jc w:val="center"/>
        </w:trPr>
        <w:tc>
          <w:tcPr>
            <w:tcW w:w="2263" w:type="dxa"/>
            <w:shd w:val="clear" w:color="auto" w:fill="auto"/>
          </w:tcPr>
          <w:p w14:paraId="4BA642B1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Angehörigenschulung </w:t>
            </w:r>
          </w:p>
          <w:p w14:paraId="445963A8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(im ambulanten Bereich)</w:t>
            </w:r>
          </w:p>
        </w:tc>
        <w:tc>
          <w:tcPr>
            <w:tcW w:w="8505" w:type="dxa"/>
            <w:shd w:val="clear" w:color="auto" w:fill="auto"/>
          </w:tcPr>
          <w:p w14:paraId="3450F854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Instruieren Sie, insbesondere sofern Sie im ambulanten oder teilstationären Bereich tätig sind, die Angehörigen der Pflegekunden.</w:t>
            </w:r>
          </w:p>
          <w:p w14:paraId="21536F42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Die Zugehörigen sollten befähigt werden, Risiken zu erkennen, und in Pflegemaßnahmen unterwiesen werden.</w:t>
            </w:r>
          </w:p>
        </w:tc>
      </w:tr>
      <w:tr w:rsidR="00ED2950" w:rsidRPr="00ED2950" w14:paraId="157A0974" w14:textId="77777777" w:rsidTr="00ED2950">
        <w:trPr>
          <w:jc w:val="center"/>
        </w:trPr>
        <w:tc>
          <w:tcPr>
            <w:tcW w:w="10768" w:type="dxa"/>
            <w:gridSpan w:val="2"/>
            <w:shd w:val="clear" w:color="auto" w:fill="C7E3AB"/>
          </w:tcPr>
          <w:p w14:paraId="60D639F3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Tägliche Kontrolle der Füße</w:t>
            </w:r>
          </w:p>
        </w:tc>
      </w:tr>
      <w:tr w:rsidR="00ED2950" w:rsidRPr="00ED2950" w14:paraId="69B29761" w14:textId="77777777" w:rsidTr="00ED2950">
        <w:trPr>
          <w:jc w:val="center"/>
        </w:trPr>
        <w:tc>
          <w:tcPr>
            <w:tcW w:w="2263" w:type="dxa"/>
            <w:shd w:val="clear" w:color="auto" w:fill="auto"/>
          </w:tcPr>
          <w:p w14:paraId="05C96962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Fußinspektion</w:t>
            </w:r>
          </w:p>
        </w:tc>
        <w:tc>
          <w:tcPr>
            <w:tcW w:w="8505" w:type="dxa"/>
            <w:shd w:val="clear" w:color="auto" w:fill="auto"/>
          </w:tcPr>
          <w:p w14:paraId="1ADC7798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Die Füße sollten täglich auf Verletzungen, Rötungen, Schwellungen und Veränderungen der Hautfarbe untersucht werden. </w:t>
            </w:r>
          </w:p>
          <w:p w14:paraId="16E4D564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Sofern Pflegekunden dies selbstständig bewerkstelligen, können sie bei Bedarf einen Spiegel verwenden oder eine andere Person um Hilfe bitten, z. B. einen Angehörigen. </w:t>
            </w:r>
          </w:p>
          <w:p w14:paraId="63DB28A1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Die zu Pflegenden sollten auch auf Empfindungsstörungen achten und diese unmittelbar der Pflegefachkraft melden, z. B. Taubheitsgefühle in den Füßen oder ein Kribbeln.</w:t>
            </w:r>
          </w:p>
        </w:tc>
      </w:tr>
      <w:tr w:rsidR="00ED2950" w:rsidRPr="00ED2950" w14:paraId="092B201B" w14:textId="77777777" w:rsidTr="00ED2950">
        <w:trPr>
          <w:jc w:val="center"/>
        </w:trPr>
        <w:tc>
          <w:tcPr>
            <w:tcW w:w="10768" w:type="dxa"/>
            <w:gridSpan w:val="2"/>
            <w:shd w:val="clear" w:color="auto" w:fill="C7E3AB"/>
          </w:tcPr>
          <w:p w14:paraId="03665DDA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Reinigung und Pflege</w:t>
            </w:r>
          </w:p>
        </w:tc>
      </w:tr>
      <w:tr w:rsidR="00ED2950" w:rsidRPr="00ED2950" w14:paraId="1E0199B1" w14:textId="77777777" w:rsidTr="00ED2950">
        <w:trPr>
          <w:jc w:val="center"/>
        </w:trPr>
        <w:tc>
          <w:tcPr>
            <w:tcW w:w="2263" w:type="dxa"/>
            <w:shd w:val="clear" w:color="auto" w:fill="auto"/>
          </w:tcPr>
          <w:p w14:paraId="30ABBD7B" w14:textId="18C77AE9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Waschen</w:t>
            </w:r>
          </w:p>
        </w:tc>
        <w:tc>
          <w:tcPr>
            <w:tcW w:w="8505" w:type="dxa"/>
            <w:shd w:val="clear" w:color="auto" w:fill="auto"/>
          </w:tcPr>
          <w:p w14:paraId="4790EDDA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Die Füße sollten täglich mit lauwarmem Wasser und milder Seife gewaschen und gut abgetrocknet werden, besonders zwischen den Zehen.</w:t>
            </w:r>
          </w:p>
        </w:tc>
      </w:tr>
      <w:tr w:rsidR="00ED2950" w:rsidRPr="00ED2950" w14:paraId="636B27A4" w14:textId="77777777" w:rsidTr="00ED2950">
        <w:trPr>
          <w:jc w:val="center"/>
        </w:trPr>
        <w:tc>
          <w:tcPr>
            <w:tcW w:w="2263" w:type="dxa"/>
            <w:shd w:val="clear" w:color="auto" w:fill="auto"/>
          </w:tcPr>
          <w:p w14:paraId="3E71D871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Cremes</w:t>
            </w:r>
          </w:p>
          <w:p w14:paraId="30894948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DCD2E05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Es sollten feuchtigkeitsspendende Cremes aufgetragen werden, um die Haut geschmeidig zu halten. Dabei sind Zehenzwischenräume auszusparen, um ein feuchtes Milieu zu vermeiden.</w:t>
            </w:r>
          </w:p>
        </w:tc>
      </w:tr>
      <w:tr w:rsidR="00ED2950" w:rsidRPr="00ED2950" w14:paraId="43C9BD9B" w14:textId="77777777" w:rsidTr="00ED2950">
        <w:trPr>
          <w:jc w:val="center"/>
        </w:trPr>
        <w:tc>
          <w:tcPr>
            <w:tcW w:w="2263" w:type="dxa"/>
            <w:shd w:val="clear" w:color="auto" w:fill="auto"/>
          </w:tcPr>
          <w:p w14:paraId="20DCB6C4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Nagelpflege</w:t>
            </w:r>
          </w:p>
        </w:tc>
        <w:tc>
          <w:tcPr>
            <w:tcW w:w="8505" w:type="dxa"/>
            <w:shd w:val="clear" w:color="auto" w:fill="auto"/>
          </w:tcPr>
          <w:p w14:paraId="4E5C3E2A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Nägel sollten vom Podologen gerade geschnitten und Ecken gefeilt werden, um Verletzungen zu vermeiden. </w:t>
            </w:r>
          </w:p>
        </w:tc>
      </w:tr>
      <w:tr w:rsidR="00ED2950" w:rsidRPr="00ED2950" w14:paraId="7D14837E" w14:textId="77777777" w:rsidTr="00ED2950">
        <w:trPr>
          <w:jc w:val="center"/>
        </w:trPr>
        <w:tc>
          <w:tcPr>
            <w:tcW w:w="10768" w:type="dxa"/>
            <w:gridSpan w:val="2"/>
            <w:shd w:val="clear" w:color="auto" w:fill="C7E3AB"/>
          </w:tcPr>
          <w:p w14:paraId="2D7BAFD0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Schuhwerk anpassen</w:t>
            </w:r>
          </w:p>
        </w:tc>
      </w:tr>
      <w:tr w:rsidR="00ED2950" w:rsidRPr="00ED2950" w14:paraId="24D1DDBB" w14:textId="77777777" w:rsidTr="00ED2950">
        <w:trPr>
          <w:jc w:val="center"/>
        </w:trPr>
        <w:tc>
          <w:tcPr>
            <w:tcW w:w="2263" w:type="dxa"/>
            <w:shd w:val="clear" w:color="auto" w:fill="auto"/>
          </w:tcPr>
          <w:p w14:paraId="17057D2D" w14:textId="77777777" w:rsidR="00ED2950" w:rsidRPr="00ED2950" w:rsidRDefault="00ED2950" w:rsidP="00ED295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29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Passform</w:t>
            </w:r>
          </w:p>
        </w:tc>
        <w:tc>
          <w:tcPr>
            <w:tcW w:w="8505" w:type="dxa"/>
            <w:shd w:val="clear" w:color="auto" w:fill="auto"/>
          </w:tcPr>
          <w:p w14:paraId="489FD953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Schuhe sollten gut passen, um Druckstellen und Reibung zu vermeiden. Betroffene sollten keine engen oder zu weiten Schuhe tragen.</w:t>
            </w:r>
          </w:p>
          <w:p w14:paraId="376124E9" w14:textId="77777777" w:rsidR="00ED2950" w:rsidRPr="00ED2950" w:rsidRDefault="00ED2950" w:rsidP="00ED295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23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D2950">
              <w:rPr>
                <w:rFonts w:ascii="Arial" w:eastAsiaTheme="minorHAnsi" w:hAnsi="Arial" w:cs="Arial"/>
                <w:color w:val="000000" w:themeColor="text1"/>
                <w:sz w:val="24"/>
              </w:rPr>
              <w:t>Eventuell bieten sich orthopädische Schuhe an, da diese den Druck gleichmäßiger verteilen.</w:t>
            </w:r>
          </w:p>
        </w:tc>
      </w:tr>
    </w:tbl>
    <w:p w14:paraId="6A9054EF" w14:textId="77777777" w:rsidR="00ED2950" w:rsidRPr="00ED2950" w:rsidRDefault="00ED2950" w:rsidP="00ED2950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ED2950" w:rsidRPr="00ED2950" w:rsidSect="00ED2950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3ADD8F9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907FF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797B"/>
    <w:multiLevelType w:val="hybridMultilevel"/>
    <w:tmpl w:val="58E6C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65EF0"/>
    <w:multiLevelType w:val="hybridMultilevel"/>
    <w:tmpl w:val="87CE6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405"/>
    <w:multiLevelType w:val="hybridMultilevel"/>
    <w:tmpl w:val="7E423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E35B5"/>
    <w:multiLevelType w:val="hybridMultilevel"/>
    <w:tmpl w:val="18CEF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874FB"/>
    <w:multiLevelType w:val="hybridMultilevel"/>
    <w:tmpl w:val="E2F2D8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524A0"/>
    <w:multiLevelType w:val="hybridMultilevel"/>
    <w:tmpl w:val="E668C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A2F74"/>
    <w:multiLevelType w:val="hybridMultilevel"/>
    <w:tmpl w:val="5DA85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64ADD"/>
    <w:multiLevelType w:val="hybridMultilevel"/>
    <w:tmpl w:val="2438C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4"/>
  </w:num>
  <w:num w:numId="3" w16cid:durableId="1023476870">
    <w:abstractNumId w:val="27"/>
  </w:num>
  <w:num w:numId="4" w16cid:durableId="1632981953">
    <w:abstractNumId w:val="14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7"/>
  </w:num>
  <w:num w:numId="8" w16cid:durableId="1349798627">
    <w:abstractNumId w:val="15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19"/>
  </w:num>
  <w:num w:numId="13" w16cid:durableId="1540699642">
    <w:abstractNumId w:val="20"/>
  </w:num>
  <w:num w:numId="14" w16cid:durableId="1014500060">
    <w:abstractNumId w:val="18"/>
  </w:num>
  <w:num w:numId="15" w16cid:durableId="473067152">
    <w:abstractNumId w:val="21"/>
  </w:num>
  <w:num w:numId="16" w16cid:durableId="516389024">
    <w:abstractNumId w:val="22"/>
  </w:num>
  <w:num w:numId="17" w16cid:durableId="1666322767">
    <w:abstractNumId w:val="23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60978803">
    <w:abstractNumId w:val="13"/>
  </w:num>
  <w:num w:numId="24" w16cid:durableId="529950863">
    <w:abstractNumId w:val="29"/>
  </w:num>
  <w:num w:numId="25" w16cid:durableId="1456873626">
    <w:abstractNumId w:val="10"/>
  </w:num>
  <w:num w:numId="26" w16cid:durableId="373434473">
    <w:abstractNumId w:val="9"/>
  </w:num>
  <w:num w:numId="27" w16cid:durableId="1235092791">
    <w:abstractNumId w:val="12"/>
  </w:num>
  <w:num w:numId="28" w16cid:durableId="2068723494">
    <w:abstractNumId w:val="16"/>
  </w:num>
  <w:num w:numId="29" w16cid:durableId="467864173">
    <w:abstractNumId w:val="25"/>
  </w:num>
  <w:num w:numId="30" w16cid:durableId="20102131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9355B"/>
    <w:rsid w:val="000B50CC"/>
    <w:rsid w:val="000C6A2D"/>
    <w:rsid w:val="000E54B5"/>
    <w:rsid w:val="0015409B"/>
    <w:rsid w:val="00155F98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743F9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3272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907FF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2950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55F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5F3B2-628F-4E57-A0CD-FB4C437F9E2F}"/>
</file>

<file path=customXml/itemProps4.xml><?xml version="1.0" encoding="utf-8"?>
<ds:datastoreItem xmlns:ds="http://schemas.openxmlformats.org/officeDocument/2006/customXml" ds:itemID="{D16EE201-5D4B-404A-AAB1-CA44FAAB8192}"/>
</file>

<file path=customXml/itemProps5.xml><?xml version="1.0" encoding="utf-8"?>
<ds:datastoreItem xmlns:ds="http://schemas.openxmlformats.org/officeDocument/2006/customXml" ds:itemID="{E45616B7-0D5B-43F8-8573-0A9D70A2B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2024-08-12T09:48:00Z</dcterms:created>
  <dcterms:modified xsi:type="dcterms:W3CDTF">2024-08-12T09:48:00Z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