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5D412409" w14:textId="77777777" w:rsidR="00C73E1A" w:rsidRDefault="007A7CA7" w:rsidP="005E1850">
      <w:pPr>
        <w:tabs>
          <w:tab w:val="left" w:pos="1365"/>
          <w:tab w:val="left" w:pos="2430"/>
          <w:tab w:val="left" w:pos="4185"/>
          <w:tab w:val="left" w:pos="6900"/>
        </w:tabs>
      </w:pPr>
      <w:r>
        <w:tab/>
      </w:r>
      <w:r w:rsidR="005E1850">
        <w:tab/>
      </w:r>
      <w:r>
        <w:tab/>
      </w:r>
      <w:r w:rsidR="00B707AF">
        <w:tab/>
      </w:r>
    </w:p>
    <w:p w14:paraId="6BF23E31" w14:textId="77777777" w:rsidR="00A12DE0" w:rsidRDefault="00A12DE0" w:rsidP="00C73E1A"/>
    <w:p w14:paraId="4DB0E9C4" w14:textId="77777777" w:rsidR="00A12DE0" w:rsidRDefault="00A12DE0" w:rsidP="00C73E1A"/>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6"/>
      </w:tblGrid>
      <w:tr w:rsidR="00A12DE0" w:rsidRPr="00A12DE0" w14:paraId="0BF2D2E1" w14:textId="77777777" w:rsidTr="00B767CC">
        <w:tblPrEx>
          <w:tblCellMar>
            <w:top w:w="0" w:type="dxa"/>
            <w:bottom w:w="0" w:type="dxa"/>
          </w:tblCellMar>
        </w:tblPrEx>
        <w:trPr>
          <w:trHeight w:val="146"/>
          <w:jc w:val="center"/>
        </w:trPr>
        <w:tc>
          <w:tcPr>
            <w:tcW w:w="8926" w:type="dxa"/>
            <w:shd w:val="clear" w:color="auto" w:fill="193965"/>
          </w:tcPr>
          <w:p w14:paraId="153ACDB8" w14:textId="77777777" w:rsidR="00A12DE0" w:rsidRPr="00A12DE0" w:rsidRDefault="00A12DE0" w:rsidP="00A12DE0">
            <w:pPr>
              <w:spacing w:before="120" w:after="120"/>
              <w:rPr>
                <w:rFonts w:ascii="Arial" w:hAnsi="Arial" w:cs="Arial"/>
                <w:b/>
                <w:color w:val="FFFFFF"/>
                <w:sz w:val="28"/>
                <w:szCs w:val="28"/>
              </w:rPr>
            </w:pPr>
            <w:r w:rsidRPr="00A12DE0">
              <w:rPr>
                <w:rFonts w:ascii="Arial" w:hAnsi="Arial" w:cs="Arial"/>
                <w:b/>
                <w:color w:val="FFFFFF"/>
                <w:sz w:val="28"/>
                <w:szCs w:val="28"/>
              </w:rPr>
              <w:t xml:space="preserve">Übersicht: Pflege von Menschen mit Abhängigkeiten </w:t>
            </w:r>
          </w:p>
        </w:tc>
      </w:tr>
      <w:tr w:rsidR="00A12DE0" w:rsidRPr="00A12DE0" w14:paraId="505294CA" w14:textId="77777777" w:rsidTr="00B767CC">
        <w:tblPrEx>
          <w:tblCellMar>
            <w:top w:w="0" w:type="dxa"/>
            <w:bottom w:w="0" w:type="dxa"/>
          </w:tblCellMar>
        </w:tblPrEx>
        <w:trPr>
          <w:trHeight w:val="496"/>
          <w:jc w:val="center"/>
        </w:trPr>
        <w:tc>
          <w:tcPr>
            <w:tcW w:w="8926" w:type="dxa"/>
            <w:shd w:val="clear" w:color="auto" w:fill="C7E3AB"/>
          </w:tcPr>
          <w:p w14:paraId="62B8383E" w14:textId="0E8B48F8" w:rsidR="00A12DE0" w:rsidRPr="00A12DE0" w:rsidRDefault="00A12DE0" w:rsidP="00A12DE0">
            <w:pPr>
              <w:spacing w:before="120" w:after="120"/>
              <w:rPr>
                <w:rFonts w:ascii="Arial" w:hAnsi="Arial" w:cs="Arial"/>
                <w:b/>
                <w:bCs/>
                <w:color w:val="000000" w:themeColor="text1"/>
                <w:sz w:val="24"/>
              </w:rPr>
            </w:pPr>
            <w:r w:rsidRPr="00A12DE0">
              <w:rPr>
                <w:rFonts w:ascii="Arial" w:hAnsi="Arial" w:cs="Arial"/>
                <w:b/>
                <w:bCs/>
                <w:color w:val="000000" w:themeColor="text1"/>
                <w:sz w:val="24"/>
              </w:rPr>
              <w:t xml:space="preserve">Tipp 1: Verständnis entwickeln </w:t>
            </w:r>
          </w:p>
        </w:tc>
      </w:tr>
      <w:tr w:rsidR="00A12DE0" w:rsidRPr="00A12DE0" w14:paraId="1CC6CD47" w14:textId="77777777" w:rsidTr="00B767CC">
        <w:tblPrEx>
          <w:tblCellMar>
            <w:top w:w="0" w:type="dxa"/>
            <w:bottom w:w="0" w:type="dxa"/>
          </w:tblCellMar>
        </w:tblPrEx>
        <w:trPr>
          <w:trHeight w:val="496"/>
          <w:jc w:val="center"/>
        </w:trPr>
        <w:tc>
          <w:tcPr>
            <w:tcW w:w="8926" w:type="dxa"/>
          </w:tcPr>
          <w:p w14:paraId="34A443B9" w14:textId="77777777" w:rsidR="00A12DE0" w:rsidRPr="00A12DE0" w:rsidRDefault="00A12DE0" w:rsidP="00A12DE0">
            <w:pPr>
              <w:spacing w:before="120" w:after="120"/>
              <w:rPr>
                <w:rFonts w:ascii="Arial" w:hAnsi="Arial" w:cs="Arial"/>
                <w:color w:val="000000" w:themeColor="text1"/>
                <w:sz w:val="24"/>
              </w:rPr>
            </w:pPr>
            <w:r w:rsidRPr="00A12DE0">
              <w:rPr>
                <w:rFonts w:ascii="Arial" w:hAnsi="Arial" w:cs="Arial"/>
                <w:color w:val="000000" w:themeColor="text1"/>
                <w:sz w:val="24"/>
              </w:rPr>
              <w:t>Versuchen Sie herauszubekommen, was bzw. welcher Mangel den einzelnen Pfle</w:t>
            </w:r>
            <w:r w:rsidRPr="00A12DE0">
              <w:rPr>
                <w:rFonts w:ascii="Arial" w:hAnsi="Arial" w:cs="Arial"/>
                <w:color w:val="000000" w:themeColor="text1"/>
                <w:sz w:val="24"/>
              </w:rPr>
              <w:softHyphen/>
              <w:t xml:space="preserve">gebedürftigen in die Abhängigkeit getrieben hat. Empathie und der Aufbau einer vertrauensvollen Beziehung sind dabei unverzichtbar. </w:t>
            </w:r>
          </w:p>
        </w:tc>
      </w:tr>
      <w:tr w:rsidR="00A12DE0" w:rsidRPr="00A12DE0" w14:paraId="34ACBFC4" w14:textId="77777777" w:rsidTr="00B767CC">
        <w:tblPrEx>
          <w:tblCellMar>
            <w:top w:w="0" w:type="dxa"/>
            <w:bottom w:w="0" w:type="dxa"/>
          </w:tblCellMar>
        </w:tblPrEx>
        <w:trPr>
          <w:trHeight w:val="496"/>
          <w:jc w:val="center"/>
        </w:trPr>
        <w:tc>
          <w:tcPr>
            <w:tcW w:w="8926" w:type="dxa"/>
            <w:shd w:val="clear" w:color="auto" w:fill="C7E3AB"/>
          </w:tcPr>
          <w:p w14:paraId="5CE768CF" w14:textId="54DADFD9" w:rsidR="00A12DE0" w:rsidRPr="00A12DE0" w:rsidRDefault="00A12DE0" w:rsidP="00A12DE0">
            <w:pPr>
              <w:spacing w:before="120" w:after="120"/>
              <w:rPr>
                <w:rFonts w:ascii="Arial" w:hAnsi="Arial" w:cs="Arial"/>
                <w:b/>
                <w:bCs/>
                <w:color w:val="000000" w:themeColor="text1"/>
                <w:sz w:val="24"/>
              </w:rPr>
            </w:pPr>
            <w:r w:rsidRPr="00A12DE0">
              <w:rPr>
                <w:rFonts w:ascii="Arial" w:hAnsi="Arial" w:cs="Arial"/>
                <w:b/>
                <w:bCs/>
                <w:color w:val="000000" w:themeColor="text1"/>
                <w:sz w:val="24"/>
              </w:rPr>
              <w:t xml:space="preserve">Tipp 2: Beratung und Vermittlung an Fachprofessionen </w:t>
            </w:r>
          </w:p>
        </w:tc>
      </w:tr>
      <w:tr w:rsidR="00A12DE0" w:rsidRPr="00A12DE0" w14:paraId="5254DFF9" w14:textId="77777777" w:rsidTr="00B767CC">
        <w:tblPrEx>
          <w:tblCellMar>
            <w:top w:w="0" w:type="dxa"/>
            <w:bottom w:w="0" w:type="dxa"/>
          </w:tblCellMar>
        </w:tblPrEx>
        <w:trPr>
          <w:trHeight w:val="716"/>
          <w:jc w:val="center"/>
        </w:trPr>
        <w:tc>
          <w:tcPr>
            <w:tcW w:w="8926" w:type="dxa"/>
          </w:tcPr>
          <w:p w14:paraId="3A225648" w14:textId="77777777" w:rsidR="00A12DE0" w:rsidRPr="00A12DE0" w:rsidRDefault="00A12DE0" w:rsidP="00A12DE0">
            <w:pPr>
              <w:spacing w:before="120" w:after="120"/>
              <w:rPr>
                <w:rFonts w:ascii="Arial" w:hAnsi="Arial" w:cs="Arial"/>
                <w:color w:val="000000" w:themeColor="text1"/>
                <w:sz w:val="24"/>
              </w:rPr>
            </w:pPr>
            <w:r w:rsidRPr="00A12DE0">
              <w:rPr>
                <w:rFonts w:ascii="Arial" w:hAnsi="Arial" w:cs="Arial"/>
                <w:color w:val="000000" w:themeColor="text1"/>
                <w:sz w:val="24"/>
              </w:rPr>
              <w:t>Ohne professionelle Hilfe wird es in aller Regel nicht gelingen, die Sucht in den Griff zu bekommen. Beraten Sie über Ihnen bekannte Behandlungsmöglichkeiten und stellen Sie bei Bedarf Kontakt zu Haus- oder Fachärzten her, die bei der Prob</w:t>
            </w:r>
            <w:r w:rsidRPr="00A12DE0">
              <w:rPr>
                <w:rFonts w:ascii="Arial" w:hAnsi="Arial" w:cs="Arial"/>
                <w:color w:val="000000" w:themeColor="text1"/>
                <w:sz w:val="24"/>
              </w:rPr>
              <w:softHyphen/>
              <w:t>lembewältigung unterstützen können. So kann beispielsweise bei Medikamenten</w:t>
            </w:r>
            <w:r w:rsidRPr="00A12DE0">
              <w:rPr>
                <w:rFonts w:ascii="Arial" w:hAnsi="Arial" w:cs="Arial"/>
                <w:color w:val="000000" w:themeColor="text1"/>
                <w:sz w:val="24"/>
              </w:rPr>
              <w:softHyphen/>
              <w:t xml:space="preserve">abhängigkeiten der Einbezug eines Psychologen angezeigt sein. </w:t>
            </w:r>
          </w:p>
        </w:tc>
      </w:tr>
      <w:tr w:rsidR="00A12DE0" w:rsidRPr="00A12DE0" w14:paraId="37DAD441" w14:textId="77777777" w:rsidTr="00B767CC">
        <w:tblPrEx>
          <w:tblCellMar>
            <w:top w:w="0" w:type="dxa"/>
            <w:bottom w:w="0" w:type="dxa"/>
          </w:tblCellMar>
        </w:tblPrEx>
        <w:trPr>
          <w:trHeight w:val="229"/>
          <w:jc w:val="center"/>
        </w:trPr>
        <w:tc>
          <w:tcPr>
            <w:tcW w:w="8926" w:type="dxa"/>
            <w:shd w:val="clear" w:color="auto" w:fill="C7E3AB"/>
          </w:tcPr>
          <w:p w14:paraId="51DD74E8" w14:textId="6C1B226A" w:rsidR="00A12DE0" w:rsidRPr="00A12DE0" w:rsidRDefault="00A12DE0" w:rsidP="00A12DE0">
            <w:pPr>
              <w:spacing w:before="120" w:after="120"/>
              <w:rPr>
                <w:rFonts w:ascii="Arial" w:hAnsi="Arial" w:cs="Arial"/>
                <w:b/>
                <w:bCs/>
                <w:color w:val="000000" w:themeColor="text1"/>
                <w:sz w:val="24"/>
              </w:rPr>
            </w:pPr>
            <w:r w:rsidRPr="00A12DE0">
              <w:rPr>
                <w:rFonts w:ascii="Arial" w:hAnsi="Arial" w:cs="Arial"/>
                <w:b/>
                <w:bCs/>
                <w:color w:val="000000" w:themeColor="text1"/>
                <w:sz w:val="24"/>
              </w:rPr>
              <w:t xml:space="preserve">Tipp 3: Ein sicheres Umfeld schaffen </w:t>
            </w:r>
          </w:p>
        </w:tc>
      </w:tr>
      <w:tr w:rsidR="00A12DE0" w:rsidRPr="00A12DE0" w14:paraId="2285681C" w14:textId="77777777" w:rsidTr="00B767CC">
        <w:tblPrEx>
          <w:tblCellMar>
            <w:top w:w="0" w:type="dxa"/>
            <w:bottom w:w="0" w:type="dxa"/>
          </w:tblCellMar>
        </w:tblPrEx>
        <w:trPr>
          <w:trHeight w:val="716"/>
          <w:jc w:val="center"/>
        </w:trPr>
        <w:tc>
          <w:tcPr>
            <w:tcW w:w="8926" w:type="dxa"/>
          </w:tcPr>
          <w:p w14:paraId="1C27160B" w14:textId="77777777" w:rsidR="00A12DE0" w:rsidRPr="00A12DE0" w:rsidRDefault="00A12DE0" w:rsidP="00A12DE0">
            <w:pPr>
              <w:spacing w:before="120" w:after="120"/>
              <w:rPr>
                <w:rFonts w:ascii="Arial" w:hAnsi="Arial" w:cs="Arial"/>
                <w:color w:val="000000" w:themeColor="text1"/>
                <w:sz w:val="24"/>
              </w:rPr>
            </w:pPr>
            <w:r w:rsidRPr="00A12DE0">
              <w:rPr>
                <w:rFonts w:ascii="Arial" w:hAnsi="Arial" w:cs="Arial"/>
                <w:color w:val="000000" w:themeColor="text1"/>
                <w:sz w:val="24"/>
              </w:rPr>
              <w:t>Achten Sie auf eine sichere Umgebung – zum Schutz der Betroffenen, aber auch zum Schutz des Umfelds, z. B. Mitbewohner in einer Pflegeeinrichtung. Starker Alkoholkonsum kann beispielsweise zu riskanten Verhaltensweisen verleiten oder in erhöhtem Aggressionspotenzial resultieren. Sorgen Sie dafür, dass für alle Be</w:t>
            </w:r>
            <w:r w:rsidRPr="00A12DE0">
              <w:rPr>
                <w:rFonts w:ascii="Arial" w:hAnsi="Arial" w:cs="Arial"/>
                <w:color w:val="000000" w:themeColor="text1"/>
                <w:sz w:val="24"/>
              </w:rPr>
              <w:softHyphen/>
              <w:t xml:space="preserve">teiligten stets ein sicherer Rahmen gewährleistet ist! </w:t>
            </w:r>
          </w:p>
        </w:tc>
      </w:tr>
      <w:tr w:rsidR="00A12DE0" w:rsidRPr="00A12DE0" w14:paraId="5CB4023B" w14:textId="77777777" w:rsidTr="00B767CC">
        <w:tblPrEx>
          <w:tblCellMar>
            <w:top w:w="0" w:type="dxa"/>
            <w:bottom w:w="0" w:type="dxa"/>
          </w:tblCellMar>
        </w:tblPrEx>
        <w:trPr>
          <w:trHeight w:val="245"/>
          <w:jc w:val="center"/>
        </w:trPr>
        <w:tc>
          <w:tcPr>
            <w:tcW w:w="8926" w:type="dxa"/>
            <w:shd w:val="clear" w:color="auto" w:fill="C7E3AB"/>
          </w:tcPr>
          <w:p w14:paraId="54E12778" w14:textId="016A9CB1" w:rsidR="00A12DE0" w:rsidRPr="00A12DE0" w:rsidRDefault="00A12DE0" w:rsidP="00A12DE0">
            <w:pPr>
              <w:spacing w:before="120" w:after="120"/>
              <w:rPr>
                <w:rFonts w:ascii="Arial" w:hAnsi="Arial" w:cs="Arial"/>
                <w:b/>
                <w:bCs/>
                <w:color w:val="000000" w:themeColor="text1"/>
                <w:sz w:val="24"/>
              </w:rPr>
            </w:pPr>
            <w:r w:rsidRPr="00A12DE0">
              <w:rPr>
                <w:rFonts w:ascii="Arial" w:hAnsi="Arial" w:cs="Arial"/>
                <w:b/>
                <w:bCs/>
                <w:color w:val="000000" w:themeColor="text1"/>
                <w:sz w:val="24"/>
              </w:rPr>
              <w:t xml:space="preserve">Tipp 4: Einen gesunden Lebenswandel fördern </w:t>
            </w:r>
          </w:p>
        </w:tc>
      </w:tr>
      <w:tr w:rsidR="00A12DE0" w:rsidRPr="00A12DE0" w14:paraId="5007060D" w14:textId="77777777" w:rsidTr="00B767CC">
        <w:tblPrEx>
          <w:tblCellMar>
            <w:top w:w="0" w:type="dxa"/>
            <w:bottom w:w="0" w:type="dxa"/>
          </w:tblCellMar>
        </w:tblPrEx>
        <w:trPr>
          <w:trHeight w:val="496"/>
          <w:jc w:val="center"/>
        </w:trPr>
        <w:tc>
          <w:tcPr>
            <w:tcW w:w="8926" w:type="dxa"/>
          </w:tcPr>
          <w:p w14:paraId="2371639B" w14:textId="77777777" w:rsidR="00A12DE0" w:rsidRPr="00A12DE0" w:rsidRDefault="00A12DE0" w:rsidP="00A12DE0">
            <w:pPr>
              <w:spacing w:before="120" w:after="120"/>
              <w:rPr>
                <w:rFonts w:ascii="Arial" w:hAnsi="Arial" w:cs="Arial"/>
                <w:color w:val="000000" w:themeColor="text1"/>
                <w:sz w:val="24"/>
              </w:rPr>
            </w:pPr>
            <w:r w:rsidRPr="00A12DE0">
              <w:rPr>
                <w:rFonts w:ascii="Arial" w:hAnsi="Arial" w:cs="Arial"/>
                <w:color w:val="000000" w:themeColor="text1"/>
                <w:sz w:val="24"/>
              </w:rPr>
              <w:t>Unterstützen Sie die Pflegekunden bei der Entwicklung eines gesunden Lebens</w:t>
            </w:r>
            <w:r w:rsidRPr="00A12DE0">
              <w:rPr>
                <w:rFonts w:ascii="Arial" w:hAnsi="Arial" w:cs="Arial"/>
                <w:color w:val="000000" w:themeColor="text1"/>
                <w:sz w:val="24"/>
              </w:rPr>
              <w:softHyphen/>
              <w:t>stils. Eine ausgewogene Ernährung, ausreichender Schlaf und regelmäßige Be</w:t>
            </w:r>
            <w:r w:rsidRPr="00A12DE0">
              <w:rPr>
                <w:rFonts w:ascii="Arial" w:hAnsi="Arial" w:cs="Arial"/>
                <w:color w:val="000000" w:themeColor="text1"/>
                <w:sz w:val="24"/>
              </w:rPr>
              <w:softHyphen/>
              <w:t xml:space="preserve">wegung haben sich zur Prävention von Rückfällen bewährt. </w:t>
            </w:r>
          </w:p>
        </w:tc>
      </w:tr>
      <w:tr w:rsidR="00A12DE0" w:rsidRPr="00A12DE0" w14:paraId="160010C3" w14:textId="77777777" w:rsidTr="00B767CC">
        <w:tblPrEx>
          <w:tblCellMar>
            <w:top w:w="0" w:type="dxa"/>
            <w:bottom w:w="0" w:type="dxa"/>
          </w:tblCellMar>
        </w:tblPrEx>
        <w:trPr>
          <w:trHeight w:val="496"/>
          <w:jc w:val="center"/>
        </w:trPr>
        <w:tc>
          <w:tcPr>
            <w:tcW w:w="8926" w:type="dxa"/>
            <w:shd w:val="clear" w:color="auto" w:fill="C7E3AB"/>
          </w:tcPr>
          <w:p w14:paraId="03029AFA" w14:textId="312E79F7" w:rsidR="00A12DE0" w:rsidRPr="00A12DE0" w:rsidRDefault="00A12DE0" w:rsidP="00A12DE0">
            <w:pPr>
              <w:spacing w:before="120" w:after="120"/>
              <w:rPr>
                <w:rFonts w:ascii="Arial" w:hAnsi="Arial" w:cs="Arial"/>
                <w:b/>
                <w:bCs/>
                <w:color w:val="000000" w:themeColor="text1"/>
                <w:sz w:val="24"/>
              </w:rPr>
            </w:pPr>
            <w:r w:rsidRPr="00A12DE0">
              <w:rPr>
                <w:rFonts w:ascii="Arial" w:hAnsi="Arial" w:cs="Arial"/>
                <w:b/>
                <w:bCs/>
                <w:color w:val="000000" w:themeColor="text1"/>
                <w:sz w:val="24"/>
              </w:rPr>
              <w:t xml:space="preserve">Tipp 5: Tagesstruktur und soziale Unterstützung </w:t>
            </w:r>
          </w:p>
        </w:tc>
      </w:tr>
      <w:tr w:rsidR="00A12DE0" w:rsidRPr="00A12DE0" w14:paraId="7F12D58D" w14:textId="77777777" w:rsidTr="00B767CC">
        <w:tblPrEx>
          <w:tblCellMar>
            <w:top w:w="0" w:type="dxa"/>
            <w:bottom w:w="0" w:type="dxa"/>
          </w:tblCellMar>
        </w:tblPrEx>
        <w:trPr>
          <w:trHeight w:val="716"/>
          <w:jc w:val="center"/>
        </w:trPr>
        <w:tc>
          <w:tcPr>
            <w:tcW w:w="8926" w:type="dxa"/>
          </w:tcPr>
          <w:p w14:paraId="233D3B26" w14:textId="77777777" w:rsidR="00A12DE0" w:rsidRPr="00A12DE0" w:rsidRDefault="00A12DE0" w:rsidP="00A12DE0">
            <w:pPr>
              <w:spacing w:before="120" w:after="120"/>
              <w:rPr>
                <w:rFonts w:ascii="Arial" w:hAnsi="Arial" w:cs="Arial"/>
                <w:color w:val="000000" w:themeColor="text1"/>
                <w:sz w:val="24"/>
              </w:rPr>
            </w:pPr>
            <w:r w:rsidRPr="00A12DE0">
              <w:rPr>
                <w:rFonts w:ascii="Arial" w:hAnsi="Arial" w:cs="Arial"/>
                <w:color w:val="000000" w:themeColor="text1"/>
                <w:sz w:val="24"/>
              </w:rPr>
              <w:t>Langeweile ist ein Nährboden für Süchte. Eine gute Tagesstruktur mit sinnvollen (!) Aktivitäten ist unabdingbar, um Betroffene auf andere Gedanken zu bringen. Binden Sie die Pflegekunden aktiv in den Tagesablauf ein, wo immer möglich. Fördern Sie die sozialen Beziehungen zu anderen Menschen, sei es zur Familie (im privaten Pflegeumfeld) oder zu Mitbewohnern im stationären Setting.</w:t>
            </w:r>
          </w:p>
        </w:tc>
      </w:tr>
    </w:tbl>
    <w:p w14:paraId="33F49912" w14:textId="77777777" w:rsidR="00A12DE0" w:rsidRDefault="00A12DE0" w:rsidP="00C73E1A"/>
    <w:sectPr w:rsidR="00A12DE0" w:rsidSect="009C06A2">
      <w:headerReference w:type="default" r:id="rId9"/>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altName w:val="Montserrat SemiBold"/>
    <w:charset w:val="00"/>
    <w:family w:val="auto"/>
    <w:pitch w:val="variable"/>
    <w:sig w:usb0="2000020F" w:usb1="00000003" w:usb2="00000000" w:usb3="00000000" w:csb0="00000197"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79D79366" w:rsidR="007A7CA7" w:rsidRPr="007A7CA7" w:rsidRDefault="00D242BF" w:rsidP="005E1850">
          <w:pPr>
            <w:pStyle w:val="Kopfzeile"/>
            <w:jc w:val="center"/>
            <w:rPr>
              <w:b/>
              <w:color w:val="FFFFFF"/>
            </w:rPr>
          </w:pPr>
          <w:r>
            <w:rPr>
              <w:b/>
              <w:color w:val="FFFFFF"/>
              <w:sz w:val="24"/>
            </w:rPr>
            <w:t xml:space="preserve">Ausgabe </w:t>
          </w:r>
          <w:r w:rsidR="00D10D40">
            <w:rPr>
              <w:b/>
              <w:color w:val="FFFFFF"/>
              <w:sz w:val="24"/>
            </w:rPr>
            <w:t>24</w:t>
          </w:r>
          <w:r w:rsidR="00826760">
            <w:rPr>
              <w:b/>
              <w:color w:val="FFFFFF"/>
              <w:sz w:val="24"/>
            </w:rPr>
            <w:t xml:space="preserve"> - 20</w:t>
          </w:r>
          <w:r w:rsidR="00017AB1">
            <w:rPr>
              <w:b/>
              <w:color w:val="FFFFFF"/>
              <w:sz w:val="24"/>
            </w:rPr>
            <w:t>2</w:t>
          </w:r>
          <w:r w:rsidR="00E17069">
            <w:rPr>
              <w:b/>
              <w:color w:val="FFFFFF"/>
              <w:sz w:val="24"/>
            </w:rPr>
            <w:t>3</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FEEC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86C64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A747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1E2F4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F2DCD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99A75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48947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7D92415"/>
    <w:multiLevelType w:val="hybridMultilevel"/>
    <w:tmpl w:val="0686AA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55948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6F39B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99145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65254855">
    <w:abstractNumId w:val="15"/>
  </w:num>
  <w:num w:numId="2" w16cid:durableId="110518625">
    <w:abstractNumId w:val="28"/>
  </w:num>
  <w:num w:numId="3" w16cid:durableId="1023476870">
    <w:abstractNumId w:val="31"/>
  </w:num>
  <w:num w:numId="4" w16cid:durableId="1632981953">
    <w:abstractNumId w:val="18"/>
  </w:num>
  <w:num w:numId="5" w16cid:durableId="334385539">
    <w:abstractNumId w:val="11"/>
  </w:num>
  <w:num w:numId="6" w16cid:durableId="292560944">
    <w:abstractNumId w:val="13"/>
  </w:num>
  <w:num w:numId="7" w16cid:durableId="617414864">
    <w:abstractNumId w:val="21"/>
  </w:num>
  <w:num w:numId="8" w16cid:durableId="1349798627">
    <w:abstractNumId w:val="19"/>
  </w:num>
  <w:num w:numId="9" w16cid:durableId="425809380">
    <w:abstractNumId w:val="14"/>
  </w:num>
  <w:num w:numId="10" w16cid:durableId="2045593739">
    <w:abstractNumId w:val="10"/>
  </w:num>
  <w:num w:numId="11" w16cid:durableId="2030179877">
    <w:abstractNumId w:val="29"/>
  </w:num>
  <w:num w:numId="12" w16cid:durableId="808983353">
    <w:abstractNumId w:val="23"/>
  </w:num>
  <w:num w:numId="13" w16cid:durableId="1540699642">
    <w:abstractNumId w:val="24"/>
  </w:num>
  <w:num w:numId="14" w16cid:durableId="1014500060">
    <w:abstractNumId w:val="22"/>
  </w:num>
  <w:num w:numId="15" w16cid:durableId="473067152">
    <w:abstractNumId w:val="25"/>
  </w:num>
  <w:num w:numId="16" w16cid:durableId="516389024">
    <w:abstractNumId w:val="26"/>
  </w:num>
  <w:num w:numId="17" w16cid:durableId="1666322767">
    <w:abstractNumId w:val="27"/>
  </w:num>
  <w:num w:numId="18" w16cid:durableId="1794514842">
    <w:abstractNumId w:val="9"/>
  </w:num>
  <w:num w:numId="19" w16cid:durableId="1643078212">
    <w:abstractNumId w:val="8"/>
  </w:num>
  <w:num w:numId="20" w16cid:durableId="682588562">
    <w:abstractNumId w:val="7"/>
  </w:num>
  <w:num w:numId="21" w16cid:durableId="1766802288">
    <w:abstractNumId w:val="6"/>
  </w:num>
  <w:num w:numId="22" w16cid:durableId="1246185949">
    <w:abstractNumId w:val="5"/>
  </w:num>
  <w:num w:numId="23" w16cid:durableId="130563163">
    <w:abstractNumId w:val="30"/>
  </w:num>
  <w:num w:numId="24" w16cid:durableId="798765092">
    <w:abstractNumId w:val="16"/>
  </w:num>
  <w:num w:numId="25" w16cid:durableId="9963505">
    <w:abstractNumId w:val="20"/>
  </w:num>
  <w:num w:numId="26" w16cid:durableId="1438329394">
    <w:abstractNumId w:val="32"/>
  </w:num>
  <w:num w:numId="27" w16cid:durableId="2096201371">
    <w:abstractNumId w:val="0"/>
  </w:num>
  <w:num w:numId="28" w16cid:durableId="1350058064">
    <w:abstractNumId w:val="4"/>
  </w:num>
  <w:num w:numId="29" w16cid:durableId="23219624">
    <w:abstractNumId w:val="2"/>
  </w:num>
  <w:num w:numId="30" w16cid:durableId="1823883592">
    <w:abstractNumId w:val="12"/>
  </w:num>
  <w:num w:numId="31" w16cid:durableId="369190547">
    <w:abstractNumId w:val="3"/>
  </w:num>
  <w:num w:numId="32" w16cid:durableId="1782456946">
    <w:abstractNumId w:val="1"/>
  </w:num>
  <w:num w:numId="33" w16cid:durableId="2922914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B50CC"/>
    <w:rsid w:val="000C6A2D"/>
    <w:rsid w:val="000E54B5"/>
    <w:rsid w:val="0015409B"/>
    <w:rsid w:val="00197AF9"/>
    <w:rsid w:val="001B429B"/>
    <w:rsid w:val="00205D0C"/>
    <w:rsid w:val="0027096C"/>
    <w:rsid w:val="002766CF"/>
    <w:rsid w:val="0028515F"/>
    <w:rsid w:val="002A5D13"/>
    <w:rsid w:val="002B029B"/>
    <w:rsid w:val="002B4419"/>
    <w:rsid w:val="002D45E4"/>
    <w:rsid w:val="002E4378"/>
    <w:rsid w:val="002F7B4F"/>
    <w:rsid w:val="003676E3"/>
    <w:rsid w:val="00380EF0"/>
    <w:rsid w:val="003A1644"/>
    <w:rsid w:val="003E3400"/>
    <w:rsid w:val="0042075B"/>
    <w:rsid w:val="00433F51"/>
    <w:rsid w:val="004639C0"/>
    <w:rsid w:val="00475E98"/>
    <w:rsid w:val="004955F6"/>
    <w:rsid w:val="004A47F9"/>
    <w:rsid w:val="004C2396"/>
    <w:rsid w:val="004E6AAB"/>
    <w:rsid w:val="0050689E"/>
    <w:rsid w:val="0051359D"/>
    <w:rsid w:val="00547B8D"/>
    <w:rsid w:val="00551B88"/>
    <w:rsid w:val="00587D31"/>
    <w:rsid w:val="005E1850"/>
    <w:rsid w:val="00614D0A"/>
    <w:rsid w:val="00653E72"/>
    <w:rsid w:val="00661981"/>
    <w:rsid w:val="006A5CFE"/>
    <w:rsid w:val="006E18EF"/>
    <w:rsid w:val="0077330A"/>
    <w:rsid w:val="00782522"/>
    <w:rsid w:val="007A7CA7"/>
    <w:rsid w:val="007B0290"/>
    <w:rsid w:val="007C0AE5"/>
    <w:rsid w:val="007E1A2E"/>
    <w:rsid w:val="00826760"/>
    <w:rsid w:val="00841FA8"/>
    <w:rsid w:val="00852BFB"/>
    <w:rsid w:val="008633AC"/>
    <w:rsid w:val="00887070"/>
    <w:rsid w:val="008B1F83"/>
    <w:rsid w:val="008E62B1"/>
    <w:rsid w:val="00937B0B"/>
    <w:rsid w:val="009433D9"/>
    <w:rsid w:val="00983536"/>
    <w:rsid w:val="009A3424"/>
    <w:rsid w:val="009B721F"/>
    <w:rsid w:val="009C06A2"/>
    <w:rsid w:val="009D2836"/>
    <w:rsid w:val="00A06C64"/>
    <w:rsid w:val="00A12DE0"/>
    <w:rsid w:val="00A56A28"/>
    <w:rsid w:val="00AC136E"/>
    <w:rsid w:val="00AE4D06"/>
    <w:rsid w:val="00B01FFE"/>
    <w:rsid w:val="00B26939"/>
    <w:rsid w:val="00B707AF"/>
    <w:rsid w:val="00B767CC"/>
    <w:rsid w:val="00B87D52"/>
    <w:rsid w:val="00BC398F"/>
    <w:rsid w:val="00BD71E9"/>
    <w:rsid w:val="00BD7424"/>
    <w:rsid w:val="00C135D1"/>
    <w:rsid w:val="00C310AF"/>
    <w:rsid w:val="00C73E1A"/>
    <w:rsid w:val="00CA1A10"/>
    <w:rsid w:val="00CC38C8"/>
    <w:rsid w:val="00D10D40"/>
    <w:rsid w:val="00D242BF"/>
    <w:rsid w:val="00D86187"/>
    <w:rsid w:val="00DB32C7"/>
    <w:rsid w:val="00DD54CC"/>
    <w:rsid w:val="00E17069"/>
    <w:rsid w:val="00E2265E"/>
    <w:rsid w:val="00E718B1"/>
    <w:rsid w:val="00EA5F7F"/>
    <w:rsid w:val="00ED3984"/>
    <w:rsid w:val="00F12F5E"/>
    <w:rsid w:val="00F20663"/>
    <w:rsid w:val="00F64056"/>
    <w:rsid w:val="00FA1128"/>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paragraph" w:customStyle="1" w:styleId="Default">
    <w:name w:val="Default"/>
    <w:rsid w:val="00FA1128"/>
    <w:pPr>
      <w:autoSpaceDE w:val="0"/>
      <w:autoSpaceDN w:val="0"/>
      <w:adjustRightInd w:val="0"/>
    </w:pPr>
    <w:rPr>
      <w:rFonts w:ascii="Montserrat" w:hAnsi="Montserrat" w:cs="Montserrat"/>
      <w:color w:val="000000"/>
      <w:sz w:val="24"/>
      <w:szCs w:val="24"/>
    </w:rPr>
  </w:style>
  <w:style w:type="paragraph" w:customStyle="1" w:styleId="Pa18">
    <w:name w:val="Pa18"/>
    <w:basedOn w:val="Default"/>
    <w:next w:val="Default"/>
    <w:uiPriority w:val="99"/>
    <w:rsid w:val="00FA1128"/>
    <w:pPr>
      <w:spacing w:line="201" w:lineRule="atLeast"/>
    </w:pPr>
    <w:rPr>
      <w:rFonts w:cs="Times New Roman"/>
      <w:color w:val="auto"/>
    </w:rPr>
  </w:style>
  <w:style w:type="paragraph" w:customStyle="1" w:styleId="Pa19">
    <w:name w:val="Pa19"/>
    <w:basedOn w:val="Default"/>
    <w:next w:val="Default"/>
    <w:uiPriority w:val="99"/>
    <w:rsid w:val="00FA1128"/>
    <w:pPr>
      <w:spacing w:line="181" w:lineRule="atLeast"/>
    </w:pPr>
    <w:rPr>
      <w:rFonts w:cs="Times New Roman"/>
      <w:color w:val="auto"/>
    </w:rPr>
  </w:style>
  <w:style w:type="character" w:customStyle="1" w:styleId="A4">
    <w:name w:val="A4"/>
    <w:uiPriority w:val="99"/>
    <w:rsid w:val="00FA1128"/>
    <w:rPr>
      <w:rFonts w:ascii="Wingdings" w:hAnsi="Wingdings" w:cs="Wingdings"/>
      <w:color w:val="1838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F8C6502A-1CBF-4481-9E00-45BB60CB2635}"/>
</file>

<file path=customXml/itemProps4.xml><?xml version="1.0" encoding="utf-8"?>
<ds:datastoreItem xmlns:ds="http://schemas.openxmlformats.org/officeDocument/2006/customXml" ds:itemID="{6D1E8B3C-881D-4221-957C-9FC855C20C1A}"/>
</file>

<file path=customXml/itemProps5.xml><?xml version="1.0" encoding="utf-8"?>
<ds:datastoreItem xmlns:ds="http://schemas.openxmlformats.org/officeDocument/2006/customXml" ds:itemID="{E214388D-B11B-40A8-9F83-276969CE2508}"/>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2013-12-09T12:30:00Z</cp:lastPrinted>
  <dcterms:created xsi:type="dcterms:W3CDTF">2023-11-08T20:37:00Z</dcterms:created>
  <dcterms:modified xsi:type="dcterms:W3CDTF">2023-11-08T20:39:00Z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