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498F3" w14:textId="77777777" w:rsidR="002A5D13" w:rsidRDefault="007A7CA7" w:rsidP="007A7CA7">
      <w:pPr>
        <w:tabs>
          <w:tab w:val="left" w:pos="5280"/>
        </w:tabs>
        <w:rPr>
          <w:b/>
          <w:noProof/>
          <w:lang w:eastAsia="de-DE"/>
        </w:rPr>
      </w:pPr>
      <w:r>
        <w:rPr>
          <w:b/>
          <w:noProof/>
          <w:lang w:eastAsia="de-DE"/>
        </w:rPr>
        <w:tab/>
      </w:r>
    </w:p>
    <w:p w14:paraId="612498F4" w14:textId="77777777" w:rsidR="00C73E1A" w:rsidRDefault="007A7CA7" w:rsidP="005E1850">
      <w:pPr>
        <w:tabs>
          <w:tab w:val="left" w:pos="1365"/>
          <w:tab w:val="left" w:pos="2430"/>
          <w:tab w:val="left" w:pos="4185"/>
          <w:tab w:val="left" w:pos="6900"/>
        </w:tabs>
      </w:pPr>
      <w:r>
        <w:tab/>
      </w:r>
      <w:r w:rsidR="005E1850">
        <w:tab/>
      </w:r>
      <w:r>
        <w:tab/>
      </w:r>
      <w:r w:rsidR="00B707AF">
        <w:tab/>
      </w:r>
    </w:p>
    <w:p w14:paraId="00DFF020" w14:textId="45193E3B" w:rsidR="0076778B" w:rsidRDefault="006E18EF" w:rsidP="0076778B">
      <w:pPr>
        <w:tabs>
          <w:tab w:val="left" w:pos="2430"/>
        </w:tabs>
      </w:pPr>
      <w:r>
        <w:tab/>
      </w:r>
    </w:p>
    <w:tbl>
      <w:tblPr>
        <w:tblStyle w:val="Tabellenraster"/>
        <w:tblW w:w="10031" w:type="dxa"/>
        <w:jc w:val="center"/>
        <w:tblInd w:w="0" w:type="dxa"/>
        <w:tblLook w:val="04A0" w:firstRow="1" w:lastRow="0" w:firstColumn="1" w:lastColumn="0" w:noHBand="0" w:noVBand="1"/>
      </w:tblPr>
      <w:tblGrid>
        <w:gridCol w:w="2041"/>
        <w:gridCol w:w="4000"/>
        <w:gridCol w:w="3990"/>
      </w:tblGrid>
      <w:tr w:rsidR="0076778B" w:rsidRPr="0076778B" w14:paraId="786235AB" w14:textId="77777777" w:rsidTr="0076778B">
        <w:trPr>
          <w:jc w:val="center"/>
        </w:trPr>
        <w:tc>
          <w:tcPr>
            <w:tcW w:w="10031" w:type="dxa"/>
            <w:gridSpan w:val="3"/>
            <w:shd w:val="clear" w:color="auto" w:fill="EED200"/>
          </w:tcPr>
          <w:p w14:paraId="433F8F1D" w14:textId="77777777" w:rsidR="0076778B" w:rsidRPr="0076778B" w:rsidRDefault="0076778B" w:rsidP="0076778B">
            <w:pPr>
              <w:spacing w:before="120" w:after="120"/>
              <w:rPr>
                <w:rFonts w:ascii="Arial" w:hAnsi="Arial"/>
                <w:b/>
                <w:sz w:val="28"/>
                <w:szCs w:val="28"/>
              </w:rPr>
            </w:pPr>
            <w:r w:rsidRPr="0076778B">
              <w:rPr>
                <w:rFonts w:ascii="Arial" w:hAnsi="Arial"/>
                <w:b/>
                <w:sz w:val="28"/>
                <w:szCs w:val="28"/>
              </w:rPr>
              <w:t>Privatsphäre achten: kleine Achtsamkeiten mit großer Wirkung</w:t>
            </w:r>
          </w:p>
        </w:tc>
      </w:tr>
      <w:tr w:rsidR="0076778B" w:rsidRPr="0076778B" w14:paraId="015868B7" w14:textId="77777777" w:rsidTr="0076778B">
        <w:trPr>
          <w:jc w:val="center"/>
        </w:trPr>
        <w:tc>
          <w:tcPr>
            <w:tcW w:w="2041" w:type="dxa"/>
            <w:shd w:val="clear" w:color="auto" w:fill="8DE5E7"/>
          </w:tcPr>
          <w:p w14:paraId="6AB1D974" w14:textId="77777777" w:rsidR="0076778B" w:rsidRPr="0076778B" w:rsidRDefault="0076778B" w:rsidP="0076778B">
            <w:pPr>
              <w:pStyle w:val="Listenabsatz"/>
              <w:spacing w:before="120" w:after="120" w:line="276" w:lineRule="auto"/>
              <w:ind w:left="0"/>
              <w:rPr>
                <w:rFonts w:ascii="Arial" w:hAnsi="Arial"/>
                <w:b/>
                <w:bCs w:val="0"/>
                <w:sz w:val="24"/>
              </w:rPr>
            </w:pPr>
            <w:r w:rsidRPr="0076778B">
              <w:rPr>
                <w:rFonts w:ascii="Arial" w:hAnsi="Arial"/>
                <w:b/>
                <w:bCs w:val="0"/>
                <w:sz w:val="24"/>
              </w:rPr>
              <w:t>Aspekt</w:t>
            </w:r>
          </w:p>
        </w:tc>
        <w:tc>
          <w:tcPr>
            <w:tcW w:w="4000" w:type="dxa"/>
            <w:shd w:val="clear" w:color="auto" w:fill="8DE5E7"/>
          </w:tcPr>
          <w:p w14:paraId="43F02C8E" w14:textId="77777777" w:rsidR="0076778B" w:rsidRPr="0076778B" w:rsidRDefault="0076778B" w:rsidP="0076778B">
            <w:pPr>
              <w:pStyle w:val="Listenabsatz"/>
              <w:spacing w:before="120" w:after="120" w:line="276" w:lineRule="auto"/>
              <w:ind w:left="0"/>
              <w:rPr>
                <w:rFonts w:ascii="Arial" w:hAnsi="Arial"/>
                <w:b/>
                <w:bCs w:val="0"/>
                <w:sz w:val="24"/>
              </w:rPr>
            </w:pPr>
            <w:r w:rsidRPr="0076778B">
              <w:rPr>
                <w:rFonts w:ascii="Arial" w:hAnsi="Arial"/>
                <w:b/>
                <w:bCs w:val="0"/>
                <w:sz w:val="24"/>
              </w:rPr>
              <w:t>Alltag</w:t>
            </w:r>
          </w:p>
        </w:tc>
        <w:tc>
          <w:tcPr>
            <w:tcW w:w="3990" w:type="dxa"/>
            <w:shd w:val="clear" w:color="auto" w:fill="8DE5E7"/>
          </w:tcPr>
          <w:p w14:paraId="6FEA0F43" w14:textId="77777777" w:rsidR="0076778B" w:rsidRPr="0076778B" w:rsidRDefault="0076778B" w:rsidP="0076778B">
            <w:pPr>
              <w:pStyle w:val="Listenabsatz"/>
              <w:spacing w:before="120" w:after="120" w:line="276" w:lineRule="auto"/>
              <w:ind w:left="0"/>
              <w:rPr>
                <w:rFonts w:ascii="Arial" w:hAnsi="Arial"/>
                <w:b/>
                <w:bCs w:val="0"/>
                <w:sz w:val="24"/>
              </w:rPr>
            </w:pPr>
            <w:r w:rsidRPr="0076778B">
              <w:rPr>
                <w:rFonts w:ascii="Arial" w:hAnsi="Arial"/>
                <w:b/>
                <w:bCs w:val="0"/>
                <w:sz w:val="24"/>
              </w:rPr>
              <w:t>Besser</w:t>
            </w:r>
          </w:p>
        </w:tc>
      </w:tr>
      <w:tr w:rsidR="0076778B" w:rsidRPr="0076778B" w14:paraId="254FF604" w14:textId="77777777" w:rsidTr="0076778B">
        <w:trPr>
          <w:jc w:val="center"/>
        </w:trPr>
        <w:tc>
          <w:tcPr>
            <w:tcW w:w="2041" w:type="dxa"/>
          </w:tcPr>
          <w:p w14:paraId="37B5F332" w14:textId="77777777" w:rsidR="0076778B" w:rsidRPr="0076778B" w:rsidRDefault="0076778B" w:rsidP="0076778B">
            <w:pPr>
              <w:pStyle w:val="Listenabsatz"/>
              <w:spacing w:before="120" w:after="120" w:line="276" w:lineRule="auto"/>
              <w:ind w:left="0"/>
              <w:rPr>
                <w:rFonts w:ascii="Arial" w:hAnsi="Arial"/>
                <w:sz w:val="24"/>
              </w:rPr>
            </w:pPr>
            <w:r w:rsidRPr="0076778B">
              <w:rPr>
                <w:rFonts w:ascii="Arial" w:hAnsi="Arial"/>
                <w:sz w:val="24"/>
              </w:rPr>
              <w:t>Türen schließen</w:t>
            </w:r>
          </w:p>
        </w:tc>
        <w:tc>
          <w:tcPr>
            <w:tcW w:w="4000" w:type="dxa"/>
          </w:tcPr>
          <w:p w14:paraId="5A3FA047" w14:textId="77777777" w:rsidR="0076778B" w:rsidRPr="0076778B" w:rsidRDefault="0076778B" w:rsidP="0076778B">
            <w:pPr>
              <w:pStyle w:val="Listenabsatz"/>
              <w:spacing w:before="120" w:after="120" w:line="276" w:lineRule="auto"/>
              <w:ind w:left="0"/>
              <w:rPr>
                <w:rFonts w:ascii="Arial" w:hAnsi="Arial"/>
                <w:sz w:val="24"/>
              </w:rPr>
            </w:pPr>
            <w:r w:rsidRPr="0076778B">
              <w:rPr>
                <w:rFonts w:ascii="Arial" w:hAnsi="Arial"/>
                <w:sz w:val="24"/>
              </w:rPr>
              <w:t xml:space="preserve">Die Tür zum Zimmer des Betroffenen wird </w:t>
            </w:r>
            <w:proofErr w:type="gramStart"/>
            <w:r w:rsidRPr="0076778B">
              <w:rPr>
                <w:rFonts w:ascii="Arial" w:hAnsi="Arial"/>
                <w:sz w:val="24"/>
              </w:rPr>
              <w:t>offen gelassen</w:t>
            </w:r>
            <w:proofErr w:type="gramEnd"/>
            <w:r w:rsidRPr="0076778B">
              <w:rPr>
                <w:rFonts w:ascii="Arial" w:hAnsi="Arial"/>
                <w:sz w:val="24"/>
              </w:rPr>
              <w:t xml:space="preserve">. Einerseits, weil dadurch im Vorbeigehen kontrolliert werden kann, was er macht, andererseits mit der Absicht, ihn auf diese Weise doch ein wenig „in die Gemeinschaft“ einzubeziehen. </w:t>
            </w:r>
          </w:p>
        </w:tc>
        <w:tc>
          <w:tcPr>
            <w:tcW w:w="3990" w:type="dxa"/>
          </w:tcPr>
          <w:p w14:paraId="55F4A44D" w14:textId="77777777" w:rsidR="0076778B" w:rsidRPr="0076778B" w:rsidRDefault="0076778B" w:rsidP="0076778B">
            <w:pPr>
              <w:pStyle w:val="Listenabsatz"/>
              <w:spacing w:before="120" w:after="120" w:line="276" w:lineRule="auto"/>
              <w:ind w:left="0"/>
              <w:rPr>
                <w:rFonts w:ascii="Arial" w:hAnsi="Arial"/>
                <w:sz w:val="24"/>
              </w:rPr>
            </w:pPr>
            <w:r w:rsidRPr="0076778B">
              <w:rPr>
                <w:rFonts w:ascii="Arial" w:hAnsi="Arial"/>
                <w:sz w:val="24"/>
              </w:rPr>
              <w:t>Das ist grundsätzlich in Ordnung, wenn der Betroffene damit einverstanden ist. Wichtig ist dabei jedoch, ihn zu fragen und seinen Wunsch zu respektieren, ob die Tür zum Raum, in dem er sich befindet, offen stehen soll oder nicht.</w:t>
            </w:r>
          </w:p>
        </w:tc>
      </w:tr>
      <w:tr w:rsidR="0076778B" w:rsidRPr="0076778B" w14:paraId="063E1EA9" w14:textId="77777777" w:rsidTr="0076778B">
        <w:trPr>
          <w:jc w:val="center"/>
        </w:trPr>
        <w:tc>
          <w:tcPr>
            <w:tcW w:w="2041" w:type="dxa"/>
          </w:tcPr>
          <w:p w14:paraId="079DBB58" w14:textId="77777777" w:rsidR="0076778B" w:rsidRPr="0076778B" w:rsidRDefault="0076778B" w:rsidP="0076778B">
            <w:pPr>
              <w:pStyle w:val="Listenabsatz"/>
              <w:spacing w:before="120" w:after="120" w:line="276" w:lineRule="auto"/>
              <w:ind w:left="0"/>
              <w:rPr>
                <w:rFonts w:ascii="Arial" w:hAnsi="Arial"/>
                <w:sz w:val="24"/>
              </w:rPr>
            </w:pPr>
            <w:r w:rsidRPr="0076778B">
              <w:rPr>
                <w:rFonts w:ascii="Arial" w:hAnsi="Arial"/>
                <w:sz w:val="24"/>
              </w:rPr>
              <w:t>Gespräch aus dem Nebenraum</w:t>
            </w:r>
          </w:p>
        </w:tc>
        <w:tc>
          <w:tcPr>
            <w:tcW w:w="4000" w:type="dxa"/>
          </w:tcPr>
          <w:p w14:paraId="4928C1CF" w14:textId="77777777" w:rsidR="0076778B" w:rsidRPr="0076778B" w:rsidRDefault="0076778B" w:rsidP="0076778B">
            <w:pPr>
              <w:pStyle w:val="Listenabsatz"/>
              <w:spacing w:before="120" w:after="120" w:line="276" w:lineRule="auto"/>
              <w:ind w:left="0"/>
              <w:rPr>
                <w:rFonts w:ascii="Arial" w:hAnsi="Arial"/>
                <w:sz w:val="24"/>
              </w:rPr>
            </w:pPr>
            <w:r w:rsidRPr="0076778B">
              <w:rPr>
                <w:rFonts w:ascii="Arial" w:hAnsi="Arial"/>
                <w:sz w:val="24"/>
              </w:rPr>
              <w:t>Gespräche und Zurufe, auch über Privates, werden vom Flur oder aus einem anderen Raum dem Betroffenen ins Zimmer „zugerufen“.</w:t>
            </w:r>
          </w:p>
        </w:tc>
        <w:tc>
          <w:tcPr>
            <w:tcW w:w="3990" w:type="dxa"/>
          </w:tcPr>
          <w:p w14:paraId="3BA00DCC" w14:textId="77777777" w:rsidR="0076778B" w:rsidRPr="0076778B" w:rsidRDefault="0076778B" w:rsidP="0076778B">
            <w:pPr>
              <w:pStyle w:val="Listenabsatz"/>
              <w:spacing w:before="120" w:after="120" w:line="276" w:lineRule="auto"/>
              <w:ind w:left="0"/>
              <w:rPr>
                <w:rFonts w:ascii="Arial" w:hAnsi="Arial"/>
                <w:sz w:val="24"/>
              </w:rPr>
            </w:pPr>
            <w:r w:rsidRPr="0076778B">
              <w:rPr>
                <w:rFonts w:ascii="Arial" w:hAnsi="Arial"/>
                <w:sz w:val="24"/>
              </w:rPr>
              <w:t xml:space="preserve">Unabhängig vom Inhalt und davon, ob andere tatsächlich mithören – gehen Sie für jedes Gespräch in die gewohnte Gesprächsdistanz und verzichten Sie auf Zurufe „aus der Entfernung“ wie etwa „Ich bringe Sie (dich) gleich zur Toilette.“ Oder „Sie können sich nicht allein anziehen. Warten Sie, bis ich bei Ihnen bin.“ Oder „Brauchen Sie Hilfe?“ All das bitte nicht vom Flur aus. </w:t>
            </w:r>
          </w:p>
        </w:tc>
      </w:tr>
      <w:tr w:rsidR="0076778B" w:rsidRPr="0076778B" w14:paraId="6D079316" w14:textId="77777777" w:rsidTr="0076778B">
        <w:trPr>
          <w:jc w:val="center"/>
        </w:trPr>
        <w:tc>
          <w:tcPr>
            <w:tcW w:w="2041" w:type="dxa"/>
          </w:tcPr>
          <w:p w14:paraId="182ADAD1" w14:textId="77777777" w:rsidR="0076778B" w:rsidRPr="0076778B" w:rsidRDefault="0076778B" w:rsidP="0076778B">
            <w:pPr>
              <w:pStyle w:val="Listenabsatz"/>
              <w:spacing w:before="120" w:after="120" w:line="276" w:lineRule="auto"/>
              <w:ind w:left="0"/>
              <w:rPr>
                <w:rFonts w:ascii="Arial" w:hAnsi="Arial"/>
                <w:sz w:val="24"/>
              </w:rPr>
            </w:pPr>
            <w:r w:rsidRPr="0076778B">
              <w:rPr>
                <w:rFonts w:ascii="Arial" w:hAnsi="Arial"/>
                <w:sz w:val="24"/>
              </w:rPr>
              <w:t>Anklopfen</w:t>
            </w:r>
          </w:p>
        </w:tc>
        <w:tc>
          <w:tcPr>
            <w:tcW w:w="4000" w:type="dxa"/>
          </w:tcPr>
          <w:p w14:paraId="3F1937DA" w14:textId="77777777" w:rsidR="0076778B" w:rsidRPr="0076778B" w:rsidRDefault="0076778B" w:rsidP="0076778B">
            <w:pPr>
              <w:pStyle w:val="Listenabsatz"/>
              <w:spacing w:before="120" w:after="120" w:line="276" w:lineRule="auto"/>
              <w:ind w:left="0"/>
              <w:rPr>
                <w:rFonts w:ascii="Arial" w:hAnsi="Arial"/>
                <w:sz w:val="24"/>
              </w:rPr>
            </w:pPr>
            <w:r w:rsidRPr="0076778B">
              <w:rPr>
                <w:rFonts w:ascii="Arial" w:hAnsi="Arial"/>
                <w:sz w:val="24"/>
              </w:rPr>
              <w:t xml:space="preserve">Türen zum Zimmer, auch Badezimmer, werden geöffnet, ohne anzuklopfen oder es wird angeklopft und im selben Augenblick die Tür geöffnet. </w:t>
            </w:r>
          </w:p>
        </w:tc>
        <w:tc>
          <w:tcPr>
            <w:tcW w:w="3990" w:type="dxa"/>
          </w:tcPr>
          <w:p w14:paraId="45807B50" w14:textId="77777777" w:rsidR="0076778B" w:rsidRPr="0076778B" w:rsidRDefault="0076778B" w:rsidP="0076778B">
            <w:pPr>
              <w:pStyle w:val="Listenabsatz"/>
              <w:spacing w:before="120" w:after="120" w:line="276" w:lineRule="auto"/>
              <w:ind w:left="0"/>
              <w:rPr>
                <w:rFonts w:ascii="Arial" w:hAnsi="Arial"/>
                <w:sz w:val="24"/>
              </w:rPr>
            </w:pPr>
            <w:r w:rsidRPr="0076778B">
              <w:rPr>
                <w:rFonts w:ascii="Arial" w:hAnsi="Arial"/>
                <w:sz w:val="24"/>
              </w:rPr>
              <w:t xml:space="preserve">Der Anstand gebietet es, anzuklopfen, bevor man den Raum eines anderen Menschen betritt. Das Anklopfen verliert seinen Sinn, wenn (fast) zeitgleich die Tür geöffnet wird. Warten Sie etwas nach dem Anklopfen – zählen Sie bis 3 und atmen Sie durch. </w:t>
            </w:r>
          </w:p>
        </w:tc>
      </w:tr>
      <w:tr w:rsidR="0076778B" w:rsidRPr="0076778B" w14:paraId="6DD97602" w14:textId="77777777" w:rsidTr="0076778B">
        <w:trPr>
          <w:jc w:val="center"/>
        </w:trPr>
        <w:tc>
          <w:tcPr>
            <w:tcW w:w="2041" w:type="dxa"/>
          </w:tcPr>
          <w:p w14:paraId="56A2A9D4" w14:textId="5FAAC935" w:rsidR="0076778B" w:rsidRPr="0076778B" w:rsidRDefault="0076778B" w:rsidP="0076778B">
            <w:pPr>
              <w:pStyle w:val="Listenabsatz"/>
              <w:spacing w:before="120" w:after="120" w:line="276" w:lineRule="auto"/>
              <w:ind w:left="0"/>
              <w:rPr>
                <w:rFonts w:ascii="Arial" w:hAnsi="Arial"/>
                <w:sz w:val="24"/>
              </w:rPr>
            </w:pPr>
            <w:r w:rsidRPr="0076778B">
              <w:rPr>
                <w:rFonts w:ascii="Arial" w:hAnsi="Arial"/>
                <w:sz w:val="24"/>
              </w:rPr>
              <w:t>Vorhänge/</w:t>
            </w:r>
            <w:r>
              <w:rPr>
                <w:rFonts w:ascii="Arial" w:hAnsi="Arial"/>
                <w:sz w:val="24"/>
              </w:rPr>
              <w:t xml:space="preserve"> </w:t>
            </w:r>
            <w:r w:rsidRPr="0076778B">
              <w:rPr>
                <w:rFonts w:ascii="Arial" w:hAnsi="Arial"/>
                <w:sz w:val="24"/>
              </w:rPr>
              <w:t>Rollläden nutzen</w:t>
            </w:r>
          </w:p>
        </w:tc>
        <w:tc>
          <w:tcPr>
            <w:tcW w:w="4000" w:type="dxa"/>
          </w:tcPr>
          <w:p w14:paraId="395A0727" w14:textId="77777777" w:rsidR="0076778B" w:rsidRPr="0076778B" w:rsidRDefault="0076778B" w:rsidP="0076778B">
            <w:pPr>
              <w:pStyle w:val="Listenabsatz"/>
              <w:spacing w:before="120" w:after="120" w:line="276" w:lineRule="auto"/>
              <w:ind w:left="0"/>
              <w:rPr>
                <w:rFonts w:ascii="Arial" w:hAnsi="Arial"/>
                <w:sz w:val="24"/>
              </w:rPr>
            </w:pPr>
            <w:r w:rsidRPr="0076778B">
              <w:rPr>
                <w:rFonts w:ascii="Arial" w:hAnsi="Arial"/>
                <w:sz w:val="24"/>
              </w:rPr>
              <w:t xml:space="preserve">Betroffene werden unterstützt, draußen ist es dunkel, aber die Vorhänge bleiben offen und die Rollläden oben. Je nach Lage kann jeder Spaziergänger damit deutlich sehen, was im Raum vor sich geht. </w:t>
            </w:r>
          </w:p>
        </w:tc>
        <w:tc>
          <w:tcPr>
            <w:tcW w:w="3990" w:type="dxa"/>
          </w:tcPr>
          <w:p w14:paraId="4DD1348A" w14:textId="77777777" w:rsidR="0076778B" w:rsidRPr="0076778B" w:rsidRDefault="0076778B" w:rsidP="0076778B">
            <w:pPr>
              <w:pStyle w:val="Listenabsatz"/>
              <w:spacing w:before="120" w:after="120" w:line="276" w:lineRule="auto"/>
              <w:ind w:left="0"/>
              <w:rPr>
                <w:rFonts w:ascii="Arial" w:hAnsi="Arial"/>
                <w:sz w:val="24"/>
              </w:rPr>
            </w:pPr>
            <w:r w:rsidRPr="0076778B">
              <w:rPr>
                <w:rFonts w:ascii="Arial" w:hAnsi="Arial"/>
                <w:sz w:val="24"/>
              </w:rPr>
              <w:t xml:space="preserve">Schließen Sie vor der Abendversorgung Vorhänge/Rollläden und öffnen Sie diese morgens erst, wenn keine körpernahen Maßnahmen mehr notwendig sind. </w:t>
            </w:r>
          </w:p>
        </w:tc>
      </w:tr>
      <w:tr w:rsidR="0076778B" w:rsidRPr="0076778B" w14:paraId="15175F6E" w14:textId="77777777" w:rsidTr="0076778B">
        <w:trPr>
          <w:jc w:val="center"/>
        </w:trPr>
        <w:tc>
          <w:tcPr>
            <w:tcW w:w="2041" w:type="dxa"/>
          </w:tcPr>
          <w:p w14:paraId="4A912FCD" w14:textId="77777777" w:rsidR="0076778B" w:rsidRPr="0076778B" w:rsidRDefault="0076778B" w:rsidP="0076778B">
            <w:pPr>
              <w:pStyle w:val="Listenabsatz"/>
              <w:spacing w:before="120" w:after="120" w:line="276" w:lineRule="auto"/>
              <w:ind w:left="0"/>
              <w:rPr>
                <w:rFonts w:ascii="Arial" w:hAnsi="Arial"/>
                <w:sz w:val="24"/>
              </w:rPr>
            </w:pPr>
            <w:r w:rsidRPr="0076778B">
              <w:rPr>
                <w:rFonts w:ascii="Arial" w:hAnsi="Arial"/>
                <w:sz w:val="24"/>
              </w:rPr>
              <w:lastRenderedPageBreak/>
              <w:t>Raumteiler verwenden</w:t>
            </w:r>
          </w:p>
        </w:tc>
        <w:tc>
          <w:tcPr>
            <w:tcW w:w="4000" w:type="dxa"/>
          </w:tcPr>
          <w:p w14:paraId="3EE395BA" w14:textId="77777777" w:rsidR="0076778B" w:rsidRPr="0076778B" w:rsidRDefault="0076778B" w:rsidP="0076778B">
            <w:pPr>
              <w:pStyle w:val="Listenabsatz"/>
              <w:spacing w:before="120" w:after="120" w:line="276" w:lineRule="auto"/>
              <w:ind w:left="0"/>
              <w:rPr>
                <w:rFonts w:ascii="Arial" w:hAnsi="Arial"/>
                <w:sz w:val="24"/>
              </w:rPr>
            </w:pPr>
            <w:r w:rsidRPr="0076778B">
              <w:rPr>
                <w:rFonts w:ascii="Arial" w:hAnsi="Arial"/>
                <w:sz w:val="24"/>
              </w:rPr>
              <w:t xml:space="preserve">Raumteiler (Paravents) sind nicht vorhanden oder werden in Doppelzimmern nicht genutzt. </w:t>
            </w:r>
          </w:p>
        </w:tc>
        <w:tc>
          <w:tcPr>
            <w:tcW w:w="3990" w:type="dxa"/>
          </w:tcPr>
          <w:p w14:paraId="3BF3DAA2" w14:textId="77777777" w:rsidR="0076778B" w:rsidRPr="0076778B" w:rsidRDefault="0076778B" w:rsidP="0076778B">
            <w:pPr>
              <w:pStyle w:val="Listenabsatz"/>
              <w:spacing w:before="120" w:after="120" w:line="276" w:lineRule="auto"/>
              <w:ind w:left="0"/>
              <w:rPr>
                <w:rFonts w:ascii="Arial" w:hAnsi="Arial"/>
                <w:sz w:val="24"/>
              </w:rPr>
            </w:pPr>
            <w:r w:rsidRPr="0076778B">
              <w:rPr>
                <w:rFonts w:ascii="Arial" w:hAnsi="Arial"/>
                <w:sz w:val="24"/>
              </w:rPr>
              <w:t xml:space="preserve">Wenn Vorhänge um Betten vorhanden sind, in denen jemand versorgt werden muss, nutzen Sie diese auch. Sind diese nicht vorhanden, empfiehlt sich die Anschaffung von Raumteilern, sogenannte Paravents. Diese sind als leichte und faltbare Versionen erhältlich, sodass sie trotz der Anwesenheit eines Dritten ein Mindestmaß an Privatsphäre während der Versorgung gewährleisten können. </w:t>
            </w:r>
          </w:p>
        </w:tc>
      </w:tr>
      <w:tr w:rsidR="0076778B" w:rsidRPr="0076778B" w14:paraId="68130D14" w14:textId="77777777" w:rsidTr="0076778B">
        <w:trPr>
          <w:jc w:val="center"/>
        </w:trPr>
        <w:tc>
          <w:tcPr>
            <w:tcW w:w="2041" w:type="dxa"/>
          </w:tcPr>
          <w:p w14:paraId="3CB4CBFD" w14:textId="77777777" w:rsidR="0076778B" w:rsidRPr="0076778B" w:rsidRDefault="0076778B" w:rsidP="0076778B">
            <w:pPr>
              <w:pStyle w:val="Listenabsatz"/>
              <w:spacing w:before="120" w:after="120" w:line="276" w:lineRule="auto"/>
              <w:ind w:left="0"/>
              <w:rPr>
                <w:rFonts w:ascii="Arial" w:hAnsi="Arial"/>
                <w:sz w:val="24"/>
              </w:rPr>
            </w:pPr>
            <w:r w:rsidRPr="0076778B">
              <w:rPr>
                <w:rFonts w:ascii="Arial" w:hAnsi="Arial"/>
                <w:sz w:val="24"/>
              </w:rPr>
              <w:t>Diskretion</w:t>
            </w:r>
          </w:p>
        </w:tc>
        <w:tc>
          <w:tcPr>
            <w:tcW w:w="4000" w:type="dxa"/>
          </w:tcPr>
          <w:p w14:paraId="7F027841" w14:textId="77777777" w:rsidR="0076778B" w:rsidRPr="0076778B" w:rsidRDefault="0076778B" w:rsidP="0076778B">
            <w:pPr>
              <w:pStyle w:val="Listenabsatz"/>
              <w:spacing w:before="120" w:after="120" w:line="276" w:lineRule="auto"/>
              <w:ind w:left="0"/>
              <w:rPr>
                <w:rFonts w:ascii="Arial" w:hAnsi="Arial"/>
                <w:sz w:val="24"/>
              </w:rPr>
            </w:pPr>
            <w:r w:rsidRPr="0076778B">
              <w:rPr>
                <w:rFonts w:ascii="Arial" w:hAnsi="Arial"/>
                <w:sz w:val="24"/>
              </w:rPr>
              <w:t xml:space="preserve">Jede Aussage oder Information des Betroffenen wird innerhalb von Mitarbeitenden gleichsam geteilt. </w:t>
            </w:r>
          </w:p>
        </w:tc>
        <w:tc>
          <w:tcPr>
            <w:tcW w:w="3990" w:type="dxa"/>
          </w:tcPr>
          <w:p w14:paraId="1CCC6388" w14:textId="568F0F75" w:rsidR="0076778B" w:rsidRPr="0076778B" w:rsidRDefault="0076778B" w:rsidP="0076778B">
            <w:pPr>
              <w:pStyle w:val="Listenabsatz"/>
              <w:spacing w:before="120" w:after="120" w:line="276" w:lineRule="auto"/>
              <w:ind w:left="0"/>
              <w:rPr>
                <w:rFonts w:ascii="Arial" w:hAnsi="Arial"/>
                <w:sz w:val="24"/>
              </w:rPr>
            </w:pPr>
            <w:r w:rsidRPr="0076778B">
              <w:rPr>
                <w:rFonts w:ascii="Arial" w:hAnsi="Arial"/>
                <w:sz w:val="24"/>
              </w:rPr>
              <w:t xml:space="preserve">Wägen Sie ab, ob jede private Information, z. B. aus der Biografie, allen zur Kenntnis gebracht werden muss. Auch private, persönliche Äußerungen von Betroffenen müssen nicht zwingend mit allen, die an der Versorgung beteiligt sind, geteilt werden. Beispiel: Dass Ihre Kundin vor 20 Jahren ein Kind verloren hat, kann für den Umgang mit der Thematik im Arbeitsalltag für Sie relevant sein, </w:t>
            </w:r>
            <w:r w:rsidRPr="0076778B">
              <w:rPr>
                <w:rFonts w:ascii="Arial" w:hAnsi="Arial"/>
                <w:sz w:val="24"/>
              </w:rPr>
              <w:t>z. B.,</w:t>
            </w:r>
            <w:r w:rsidRPr="0076778B">
              <w:rPr>
                <w:rFonts w:ascii="Arial" w:hAnsi="Arial"/>
                <w:sz w:val="24"/>
              </w:rPr>
              <w:t xml:space="preserve"> um Verhalten zu verstehen. Die Reinigungskraft oder der Hausmeister bedürfen einer solch sensiblen Information aber nicht. Achten Sie darauf, wer anwesend ist und mithört, wenn es um private Informationen Ihrer Kunden geht. </w:t>
            </w:r>
          </w:p>
        </w:tc>
      </w:tr>
    </w:tbl>
    <w:p w14:paraId="1C88B2C9" w14:textId="77777777" w:rsidR="0076778B" w:rsidRDefault="0076778B" w:rsidP="00436E01"/>
    <w:sectPr w:rsidR="0076778B" w:rsidSect="0076778B">
      <w:headerReference w:type="default" r:id="rId9"/>
      <w:pgSz w:w="11906" w:h="16838" w:code="9"/>
      <w:pgMar w:top="-851"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7AD0B" w14:textId="77777777" w:rsidR="00A8481A" w:rsidRDefault="00A8481A" w:rsidP="002A5D13">
      <w:pPr>
        <w:spacing w:after="0" w:line="240" w:lineRule="auto"/>
      </w:pPr>
      <w:r>
        <w:separator/>
      </w:r>
    </w:p>
  </w:endnote>
  <w:endnote w:type="continuationSeparator" w:id="0">
    <w:p w14:paraId="0D4F06D0" w14:textId="77777777" w:rsidR="00A8481A" w:rsidRDefault="00A8481A"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D52BA" w14:textId="77777777" w:rsidR="00A8481A" w:rsidRDefault="00A8481A" w:rsidP="002A5D13">
      <w:pPr>
        <w:spacing w:after="0" w:line="240" w:lineRule="auto"/>
      </w:pPr>
      <w:r>
        <w:separator/>
      </w:r>
    </w:p>
  </w:footnote>
  <w:footnote w:type="continuationSeparator" w:id="0">
    <w:p w14:paraId="5F8F56A5" w14:textId="77777777" w:rsidR="00A8481A" w:rsidRDefault="00A8481A"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87" w:type="pct"/>
      <w:jc w:val="center"/>
      <w:tblCellMar>
        <w:top w:w="72" w:type="dxa"/>
        <w:left w:w="115" w:type="dxa"/>
        <w:bottom w:w="72" w:type="dxa"/>
        <w:right w:w="115" w:type="dxa"/>
      </w:tblCellMar>
      <w:tblLook w:val="04A0" w:firstRow="1" w:lastRow="0" w:firstColumn="1" w:lastColumn="0" w:noHBand="0" w:noVBand="1"/>
    </w:tblPr>
    <w:tblGrid>
      <w:gridCol w:w="2525"/>
      <w:gridCol w:w="6379"/>
    </w:tblGrid>
    <w:tr w:rsidR="00067069" w14:paraId="61249913" w14:textId="77777777" w:rsidTr="002A5853">
      <w:trPr>
        <w:trHeight w:val="1221"/>
        <w:jc w:val="center"/>
      </w:trPr>
      <w:tc>
        <w:tcPr>
          <w:tcW w:w="1418" w:type="pct"/>
          <w:shd w:val="clear" w:color="auto" w:fill="EED200"/>
          <w:vAlign w:val="center"/>
        </w:tcPr>
        <w:p w14:paraId="61249911" w14:textId="4C7073FF" w:rsidR="00067069" w:rsidRPr="007A7CA7" w:rsidRDefault="00067069" w:rsidP="005E1850">
          <w:pPr>
            <w:pStyle w:val="Kopfzeile"/>
            <w:jc w:val="center"/>
            <w:rPr>
              <w:b/>
              <w:color w:val="FFFFFF"/>
            </w:rPr>
          </w:pPr>
          <w:r>
            <w:rPr>
              <w:b/>
              <w:color w:val="FFFFFF"/>
              <w:sz w:val="24"/>
            </w:rPr>
            <w:t>Ausgabe 0</w:t>
          </w:r>
          <w:r w:rsidR="00AD46DA">
            <w:rPr>
              <w:b/>
              <w:color w:val="FFFFFF"/>
              <w:sz w:val="24"/>
            </w:rPr>
            <w:t>5</w:t>
          </w:r>
          <w:r>
            <w:rPr>
              <w:b/>
              <w:color w:val="FFFFFF"/>
              <w:sz w:val="24"/>
            </w:rPr>
            <w:t xml:space="preserve"> </w:t>
          </w:r>
          <w:r w:rsidR="00AD343D">
            <w:rPr>
              <w:b/>
              <w:color w:val="FFFFFF"/>
              <w:sz w:val="24"/>
            </w:rPr>
            <w:t>–</w:t>
          </w:r>
          <w:r>
            <w:rPr>
              <w:b/>
              <w:color w:val="FFFFFF"/>
              <w:sz w:val="24"/>
            </w:rPr>
            <w:t xml:space="preserve"> 202</w:t>
          </w:r>
          <w:r w:rsidR="001849BE">
            <w:rPr>
              <w:b/>
              <w:color w:val="FFFFFF"/>
              <w:sz w:val="24"/>
            </w:rPr>
            <w:t>3</w:t>
          </w:r>
        </w:p>
      </w:tc>
      <w:tc>
        <w:tcPr>
          <w:tcW w:w="3582" w:type="pct"/>
          <w:shd w:val="clear" w:color="auto" w:fill="25B2B4"/>
        </w:tcPr>
        <w:p w14:paraId="4ABBA375" w14:textId="091658C2" w:rsidR="00067069" w:rsidRPr="002A5853" w:rsidRDefault="0076778B" w:rsidP="00AD343D">
          <w:pPr>
            <w:pStyle w:val="Kopfzeile"/>
            <w:rPr>
              <w:rFonts w:ascii="Myriad Pro" w:hAnsi="Myriad Pro"/>
              <w:color w:val="FFFFFF" w:themeColor="background1"/>
              <w:sz w:val="44"/>
              <w:szCs w:val="44"/>
            </w:rPr>
          </w:pPr>
          <w:r>
            <w:rPr>
              <w:rFonts w:ascii="Myriad Pro" w:hAnsi="Myriad Pro"/>
              <w:noProof/>
              <w:color w:val="FFFFFF" w:themeColor="background1"/>
              <w:sz w:val="44"/>
              <w:szCs w:val="44"/>
            </w:rPr>
            <w:pict w14:anchorId="574723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8201" type="#_x0000_t75" style="position:absolute;margin-left:.05pt;margin-top:.3pt;width:99.2pt;height:62.15pt;z-index:251659264;mso-position-horizontal-relative:text;mso-position-vertical-relative:text">
                <v:imagedata r:id="rId1" o:title=""/>
                <w10:wrap type="square"/>
              </v:shape>
            </w:pict>
          </w:r>
          <w:r w:rsidR="00067069" w:rsidRPr="002A5853">
            <w:rPr>
              <w:rFonts w:ascii="Myriad Pro" w:hAnsi="Myriad Pro"/>
              <w:color w:val="FFFFFF" w:themeColor="background1"/>
              <w:sz w:val="44"/>
              <w:szCs w:val="44"/>
            </w:rPr>
            <w:t>Pﬂege und Betreuung</w:t>
          </w:r>
        </w:p>
        <w:p w14:paraId="61249912" w14:textId="42C89C4F" w:rsidR="00AD343D" w:rsidRPr="00AD343D" w:rsidRDefault="00AD343D" w:rsidP="00067069">
          <w:pPr>
            <w:pStyle w:val="Kopfzeile"/>
            <w:rPr>
              <w:rFonts w:ascii="Myriad Pro" w:hAnsi="Myriad Pro"/>
              <w:color w:val="FFFFFF" w:themeColor="background1"/>
              <w:sz w:val="24"/>
            </w:rPr>
          </w:pPr>
          <w:r w:rsidRPr="00AD343D">
            <w:rPr>
              <w:rFonts w:ascii="Myriad Pro" w:hAnsi="Myriad Pro"/>
              <w:color w:val="FFFFFF" w:themeColor="background1"/>
              <w:sz w:val="18"/>
              <w:szCs w:val="16"/>
            </w:rPr>
            <w:t>Die kompetente Unterstützung für Pﬂegefachkräfte</w:t>
          </w:r>
        </w:p>
      </w:tc>
    </w:tr>
  </w:tbl>
  <w:p w14:paraId="61249915" w14:textId="60CF9D08" w:rsidR="007A7CA7" w:rsidRDefault="007A7CA7" w:rsidP="00AD343D">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48A46DC"/>
    <w:multiLevelType w:val="hybridMultilevel"/>
    <w:tmpl w:val="4606A0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4"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5"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090A6A"/>
    <w:multiLevelType w:val="hybridMultilevel"/>
    <w:tmpl w:val="3D4620E2"/>
    <w:lvl w:ilvl="0" w:tplc="6876D260">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E51ED0"/>
    <w:multiLevelType w:val="hybridMultilevel"/>
    <w:tmpl w:val="B62AEF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2239706">
    <w:abstractNumId w:val="10"/>
  </w:num>
  <w:num w:numId="2" w16cid:durableId="1768882820">
    <w:abstractNumId w:val="20"/>
  </w:num>
  <w:num w:numId="3" w16cid:durableId="35158390">
    <w:abstractNumId w:val="23"/>
  </w:num>
  <w:num w:numId="4" w16cid:durableId="1582063786">
    <w:abstractNumId w:val="11"/>
  </w:num>
  <w:num w:numId="5" w16cid:durableId="460341628">
    <w:abstractNumId w:val="7"/>
  </w:num>
  <w:num w:numId="6" w16cid:durableId="1363944139">
    <w:abstractNumId w:val="8"/>
  </w:num>
  <w:num w:numId="7" w16cid:durableId="518814105">
    <w:abstractNumId w:val="13"/>
  </w:num>
  <w:num w:numId="8" w16cid:durableId="484511790">
    <w:abstractNumId w:val="12"/>
  </w:num>
  <w:num w:numId="9" w16cid:durableId="1082413873">
    <w:abstractNumId w:val="9"/>
  </w:num>
  <w:num w:numId="10" w16cid:durableId="1074082828">
    <w:abstractNumId w:val="5"/>
  </w:num>
  <w:num w:numId="11" w16cid:durableId="1311444557">
    <w:abstractNumId w:val="21"/>
  </w:num>
  <w:num w:numId="12" w16cid:durableId="1903829581">
    <w:abstractNumId w:val="15"/>
  </w:num>
  <w:num w:numId="13" w16cid:durableId="405805395">
    <w:abstractNumId w:val="16"/>
  </w:num>
  <w:num w:numId="14" w16cid:durableId="1365642997">
    <w:abstractNumId w:val="14"/>
  </w:num>
  <w:num w:numId="15" w16cid:durableId="135924038">
    <w:abstractNumId w:val="17"/>
  </w:num>
  <w:num w:numId="16" w16cid:durableId="1397776156">
    <w:abstractNumId w:val="18"/>
  </w:num>
  <w:num w:numId="17" w16cid:durableId="1943148140">
    <w:abstractNumId w:val="19"/>
  </w:num>
  <w:num w:numId="18" w16cid:durableId="1515145064">
    <w:abstractNumId w:val="4"/>
  </w:num>
  <w:num w:numId="19" w16cid:durableId="456031427">
    <w:abstractNumId w:val="3"/>
  </w:num>
  <w:num w:numId="20" w16cid:durableId="1288777140">
    <w:abstractNumId w:val="2"/>
  </w:num>
  <w:num w:numId="21" w16cid:durableId="415978180">
    <w:abstractNumId w:val="1"/>
  </w:num>
  <w:num w:numId="22" w16cid:durableId="116141555">
    <w:abstractNumId w:val="0"/>
  </w:num>
  <w:num w:numId="23" w16cid:durableId="2121140722">
    <w:abstractNumId w:val="6"/>
  </w:num>
  <w:num w:numId="24" w16cid:durableId="1108546728">
    <w:abstractNumId w:val="22"/>
  </w:num>
  <w:num w:numId="25" w16cid:durableId="722383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evenAndOddHeaders/>
  <w:characterSpacingControl w:val="doNotCompress"/>
  <w:hdrShapeDefaults>
    <o:shapedefaults v:ext="edit" spidmax="8202"/>
    <o:shapelayout v:ext="edit">
      <o:idmap v:ext="edit" data="8"/>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515F"/>
    <w:rsid w:val="00022C51"/>
    <w:rsid w:val="00032A0C"/>
    <w:rsid w:val="00054D90"/>
    <w:rsid w:val="00067069"/>
    <w:rsid w:val="00070D06"/>
    <w:rsid w:val="000B50CC"/>
    <w:rsid w:val="000C6A2D"/>
    <w:rsid w:val="0015409B"/>
    <w:rsid w:val="001849BE"/>
    <w:rsid w:val="001B429B"/>
    <w:rsid w:val="00205D0C"/>
    <w:rsid w:val="0027096C"/>
    <w:rsid w:val="002766CF"/>
    <w:rsid w:val="0028515F"/>
    <w:rsid w:val="002A5853"/>
    <w:rsid w:val="002A5D13"/>
    <w:rsid w:val="002B029B"/>
    <w:rsid w:val="002B4419"/>
    <w:rsid w:val="002C65FD"/>
    <w:rsid w:val="002D45E4"/>
    <w:rsid w:val="002E4378"/>
    <w:rsid w:val="002F7B4F"/>
    <w:rsid w:val="003676E3"/>
    <w:rsid w:val="00380EF0"/>
    <w:rsid w:val="003E3400"/>
    <w:rsid w:val="003F6947"/>
    <w:rsid w:val="00410822"/>
    <w:rsid w:val="0042075B"/>
    <w:rsid w:val="00433F51"/>
    <w:rsid w:val="00436E01"/>
    <w:rsid w:val="004639C0"/>
    <w:rsid w:val="004955F6"/>
    <w:rsid w:val="004A47F9"/>
    <w:rsid w:val="004C2396"/>
    <w:rsid w:val="0050689E"/>
    <w:rsid w:val="00547B8D"/>
    <w:rsid w:val="00551B88"/>
    <w:rsid w:val="005847A6"/>
    <w:rsid w:val="00587D31"/>
    <w:rsid w:val="005B4711"/>
    <w:rsid w:val="005D5069"/>
    <w:rsid w:val="005E1850"/>
    <w:rsid w:val="005F2944"/>
    <w:rsid w:val="00614D0A"/>
    <w:rsid w:val="00634BB8"/>
    <w:rsid w:val="00653E72"/>
    <w:rsid w:val="00661981"/>
    <w:rsid w:val="006A5CFE"/>
    <w:rsid w:val="006E18EF"/>
    <w:rsid w:val="006F066B"/>
    <w:rsid w:val="00726F02"/>
    <w:rsid w:val="0076778B"/>
    <w:rsid w:val="00782522"/>
    <w:rsid w:val="007A7CA7"/>
    <w:rsid w:val="007B0290"/>
    <w:rsid w:val="007C0AE5"/>
    <w:rsid w:val="007E1A2E"/>
    <w:rsid w:val="00841FA8"/>
    <w:rsid w:val="00852BFB"/>
    <w:rsid w:val="0085519C"/>
    <w:rsid w:val="008633AC"/>
    <w:rsid w:val="00887070"/>
    <w:rsid w:val="008B1F83"/>
    <w:rsid w:val="008E62B1"/>
    <w:rsid w:val="00937B0B"/>
    <w:rsid w:val="009433D9"/>
    <w:rsid w:val="00983536"/>
    <w:rsid w:val="009A62FA"/>
    <w:rsid w:val="009B721F"/>
    <w:rsid w:val="009C2E59"/>
    <w:rsid w:val="00A06C64"/>
    <w:rsid w:val="00A8481A"/>
    <w:rsid w:val="00AB255A"/>
    <w:rsid w:val="00AC136E"/>
    <w:rsid w:val="00AD343D"/>
    <w:rsid w:val="00AD46DA"/>
    <w:rsid w:val="00B01FFE"/>
    <w:rsid w:val="00B31A35"/>
    <w:rsid w:val="00B707AF"/>
    <w:rsid w:val="00B87D52"/>
    <w:rsid w:val="00BD71E9"/>
    <w:rsid w:val="00C135D1"/>
    <w:rsid w:val="00C310AF"/>
    <w:rsid w:val="00C73E1A"/>
    <w:rsid w:val="00CC38C8"/>
    <w:rsid w:val="00D86187"/>
    <w:rsid w:val="00DB32C7"/>
    <w:rsid w:val="00E1355A"/>
    <w:rsid w:val="00E2265E"/>
    <w:rsid w:val="00EB5C84"/>
    <w:rsid w:val="00ED3984"/>
    <w:rsid w:val="00EF6ADE"/>
    <w:rsid w:val="00F20663"/>
    <w:rsid w:val="00F224C8"/>
    <w:rsid w:val="00F32030"/>
    <w:rsid w:val="00FA19D7"/>
    <w:rsid w:val="00FA61BF"/>
    <w:rsid w:val="00FB3A5A"/>
    <w:rsid w:val="00FC27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202"/>
    <o:shapelayout v:ext="edit">
      <o:idmap v:ext="edit" data="1"/>
    </o:shapelayout>
  </w:shapeDefaults>
  <w:decimalSymbol w:val=","/>
  <w:listSeparator w:val=";"/>
  <w14:docId w14:val="612498F3"/>
  <w15:chartTrackingRefBased/>
  <w15:docId w15:val="{06DDCC91-9BD3-489E-82C0-92CF333E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customStyle="1" w:styleId="Flietext">
    <w:name w:val="Fließtext"/>
    <w:basedOn w:val="Standard"/>
    <w:qFormat/>
    <w:rsid w:val="00AD46DA"/>
    <w:pPr>
      <w:autoSpaceDE w:val="0"/>
      <w:autoSpaceDN w:val="0"/>
      <w:adjustRightInd w:val="0"/>
      <w:spacing w:after="120" w:line="240" w:lineRule="auto"/>
    </w:pPr>
    <w:rPr>
      <w:color w:val="000000"/>
      <w:sz w:val="19"/>
      <w:szCs w:val="20"/>
    </w:rPr>
  </w:style>
  <w:style w:type="table" w:styleId="Tabellenraster">
    <w:name w:val="Table Grid"/>
    <w:basedOn w:val="NormaleTabelle"/>
    <w:uiPriority w:val="59"/>
    <w:rsid w:val="00AD46DA"/>
    <w:rPr>
      <w:rFonts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st-item">
    <w:name w:val="a-list-item"/>
    <w:basedOn w:val="Absatz-Standardschriftart"/>
    <w:rsid w:val="00AD46DA"/>
  </w:style>
  <w:style w:type="character" w:customStyle="1" w:styleId="hgkelc">
    <w:name w:val="hgkelc"/>
    <w:basedOn w:val="Absatz-Standardschriftart"/>
    <w:rsid w:val="00FA61BF"/>
  </w:style>
  <w:style w:type="paragraph" w:styleId="Untertitel">
    <w:name w:val="Subtitle"/>
    <w:basedOn w:val="Standard"/>
    <w:next w:val="Standard"/>
    <w:link w:val="UntertitelZchn"/>
    <w:uiPriority w:val="11"/>
    <w:qFormat/>
    <w:rsid w:val="00FA61BF"/>
    <w:pPr>
      <w:numPr>
        <w:ilvl w:val="1"/>
      </w:numPr>
      <w:spacing w:after="160" w:line="240" w:lineRule="auto"/>
    </w:pPr>
    <w:rPr>
      <w:rFonts w:eastAsia="Times New Roman" w:cs="Arial"/>
      <w:color w:val="5A5A5A"/>
      <w:spacing w:val="15"/>
    </w:rPr>
  </w:style>
  <w:style w:type="character" w:customStyle="1" w:styleId="UntertitelZchn">
    <w:name w:val="Untertitel Zchn"/>
    <w:basedOn w:val="Absatz-Standardschriftart"/>
    <w:link w:val="Untertitel"/>
    <w:uiPriority w:val="11"/>
    <w:rsid w:val="00FA61BF"/>
    <w:rPr>
      <w:rFonts w:eastAsia="Times New Roman" w:cs="Arial"/>
      <w:color w:val="5A5A5A"/>
      <w:spacing w:val="15"/>
      <w:sz w:val="22"/>
      <w:szCs w:val="22"/>
      <w:lang w:eastAsia="en-US"/>
    </w:rPr>
  </w:style>
  <w:style w:type="character" w:styleId="SchwacheHervorhebung">
    <w:name w:val="Subtle Emphasis"/>
    <w:uiPriority w:val="19"/>
    <w:qFormat/>
    <w:rsid w:val="00FA61BF"/>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Ausgabe 01 - 2014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55EF3A41EDB1BC439DC802560C29149A" ma:contentTypeVersion="11" ma:contentTypeDescription="Ein neues Dokument erstellen." ma:contentTypeScope="" ma:versionID="1fa024b85d913a41c4f6461c7008ea21">
  <xsd:schema xmlns:xsd="http://www.w3.org/2001/XMLSchema" xmlns:xs="http://www.w3.org/2001/XMLSchema" xmlns:p="http://schemas.microsoft.com/office/2006/metadata/properties" xmlns:ns2="3d7d3973-2e4b-42e0-a392-6412e222c751" xmlns:ns3="9462e6a3-3baa-403b-a73e-bc3975b56352" targetNamespace="http://schemas.microsoft.com/office/2006/metadata/properties" ma:root="true" ma:fieldsID="5b074225a328474738d15efaa4aa2088" ns2:_="" ns3:_="">
    <xsd:import namespace="3d7d3973-2e4b-42e0-a392-6412e222c751"/>
    <xsd:import namespace="9462e6a3-3baa-403b-a73e-bc3975b56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d3973-2e4b-42e0-a392-6412e222c7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2e6a3-3baa-403b-a73e-bc3975b56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9dca89-00b1-495f-9ce8-6bdf634e50cb}" ma:internalName="TaxCatchAll" ma:showField="CatchAllData" ma:web="9462e6a3-3baa-403b-a73e-bc3975b56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d7d3973-2e4b-42e0-a392-6412e222c751">
      <Terms xmlns="http://schemas.microsoft.com/office/infopath/2007/PartnerControls"/>
    </lcf76f155ced4ddcb4097134ff3c332f>
    <TaxCatchAll xmlns="9462e6a3-3baa-403b-a73e-bc3975b56352"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56FDC3-9DC7-4DF6-8315-4C77AE1FD966}">
  <ds:schemaRefs>
    <ds:schemaRef ds:uri="http://schemas.openxmlformats.org/officeDocument/2006/bibliography"/>
  </ds:schemaRefs>
</ds:datastoreItem>
</file>

<file path=customXml/itemProps3.xml><?xml version="1.0" encoding="utf-8"?>
<ds:datastoreItem xmlns:ds="http://schemas.openxmlformats.org/officeDocument/2006/customXml" ds:itemID="{F1C11CD7-5704-4783-B3B6-4F7BD1DABFF2}"/>
</file>

<file path=customXml/itemProps4.xml><?xml version="1.0" encoding="utf-8"?>
<ds:datastoreItem xmlns:ds="http://schemas.openxmlformats.org/officeDocument/2006/customXml" ds:itemID="{E3CAFDFA-11EE-45EC-A6FE-A5E7455879F7}"/>
</file>

<file path=customXml/itemProps5.xml><?xml version="1.0" encoding="utf-8"?>
<ds:datastoreItem xmlns:ds="http://schemas.openxmlformats.org/officeDocument/2006/customXml" ds:itemID="{3F86D902-3D9D-45ED-A675-0D668514A0F2}"/>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2680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2</cp:revision>
  <cp:lastPrinted>2013-12-09T11:30:00Z</cp:lastPrinted>
  <dcterms:created xsi:type="dcterms:W3CDTF">2023-04-13T11:39:00Z</dcterms:created>
  <dcterms:modified xsi:type="dcterms:W3CDTF">2023-04-13T11:39:00Z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0x01010055EF3A41EDB1BC439DC802560C29149A</vt:lpwstr>
  </property>
</Properties>
</file>