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6124990C" w14:textId="20E6E858" w:rsidR="007A7CA7" w:rsidRDefault="007A7CA7" w:rsidP="00436E01"/>
    <w:p w14:paraId="556C39AE" w14:textId="33EDAD84" w:rsidR="00067069" w:rsidRDefault="00067069" w:rsidP="00436E01"/>
    <w:tbl>
      <w:tblPr>
        <w:tblStyle w:val="Tabellenrast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71450" w:rsidRPr="00E71450" w14:paraId="102C76EA" w14:textId="77777777" w:rsidTr="00E71450">
        <w:trPr>
          <w:jc w:val="center"/>
        </w:trPr>
        <w:tc>
          <w:tcPr>
            <w:tcW w:w="9062" w:type="dxa"/>
            <w:gridSpan w:val="2"/>
            <w:shd w:val="clear" w:color="auto" w:fill="EED200"/>
          </w:tcPr>
          <w:p w14:paraId="40261626" w14:textId="77777777" w:rsidR="00E71450" w:rsidRPr="00E71450" w:rsidRDefault="00E71450" w:rsidP="00E71450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E71450">
              <w:rPr>
                <w:rFonts w:ascii="Arial" w:hAnsi="Arial"/>
                <w:b/>
                <w:sz w:val="28"/>
                <w:szCs w:val="28"/>
              </w:rPr>
              <w:t>Übersicht Biografie-Arbeit: Beispiele für Nutzen und Methoden</w:t>
            </w:r>
          </w:p>
        </w:tc>
      </w:tr>
      <w:tr w:rsidR="00E71450" w:rsidRPr="00E71450" w14:paraId="690D8121" w14:textId="77777777" w:rsidTr="00E71450">
        <w:trPr>
          <w:jc w:val="center"/>
        </w:trPr>
        <w:tc>
          <w:tcPr>
            <w:tcW w:w="4531" w:type="dxa"/>
            <w:shd w:val="clear" w:color="auto" w:fill="8DE5E7"/>
          </w:tcPr>
          <w:p w14:paraId="14DAB0F3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 w:rsidRPr="00E71450">
              <w:rPr>
                <w:rFonts w:ascii="Arial" w:hAnsi="Arial"/>
                <w:b/>
                <w:sz w:val="24"/>
              </w:rPr>
              <w:t>Nutzen</w:t>
            </w:r>
          </w:p>
        </w:tc>
        <w:tc>
          <w:tcPr>
            <w:tcW w:w="4531" w:type="dxa"/>
            <w:shd w:val="clear" w:color="auto" w:fill="8DE5E7"/>
          </w:tcPr>
          <w:p w14:paraId="24C307C3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/>
                <w:b/>
                <w:sz w:val="24"/>
              </w:rPr>
            </w:pPr>
            <w:r w:rsidRPr="00E71450">
              <w:rPr>
                <w:rFonts w:ascii="Arial" w:hAnsi="Arial"/>
                <w:b/>
                <w:sz w:val="24"/>
              </w:rPr>
              <w:t>Methoden</w:t>
            </w:r>
          </w:p>
        </w:tc>
      </w:tr>
      <w:tr w:rsidR="00E71450" w:rsidRPr="00E71450" w14:paraId="3C77E2BF" w14:textId="77777777" w:rsidTr="00E71450">
        <w:trPr>
          <w:jc w:val="center"/>
        </w:trPr>
        <w:tc>
          <w:tcPr>
            <w:tcW w:w="4531" w:type="dxa"/>
          </w:tcPr>
          <w:p w14:paraId="461FBF28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 xml:space="preserve">Beziehungsgestaltung: Vertrauen und Bindung können gestärkt werden. </w:t>
            </w:r>
          </w:p>
        </w:tc>
        <w:tc>
          <w:tcPr>
            <w:tcW w:w="4531" w:type="dxa"/>
          </w:tcPr>
          <w:p w14:paraId="4AF53826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>Anpassung und Übernahme von Kontakt- und Sprachgewohnheiten (z. B. Handschlag, Dialekte, Höflichkeitsformen, Anreden etc.)</w:t>
            </w:r>
          </w:p>
        </w:tc>
      </w:tr>
      <w:tr w:rsidR="00E71450" w:rsidRPr="00E71450" w14:paraId="63C8D363" w14:textId="77777777" w:rsidTr="00E71450">
        <w:trPr>
          <w:jc w:val="center"/>
        </w:trPr>
        <w:tc>
          <w:tcPr>
            <w:tcW w:w="4531" w:type="dxa"/>
          </w:tcPr>
          <w:p w14:paraId="5E42842A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>Bezug zur Gegenwart kann gestärkt werden – was war, was ist vergangen, was ist aktuell?</w:t>
            </w:r>
          </w:p>
        </w:tc>
        <w:tc>
          <w:tcPr>
            <w:tcW w:w="4531" w:type="dxa"/>
          </w:tcPr>
          <w:p w14:paraId="38D523BD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 xml:space="preserve">Raumgestaltung/bauliche Bedingungen werden so vorgenommen, dass sie Betroffenen vertraut erscheinen. </w:t>
            </w:r>
          </w:p>
        </w:tc>
      </w:tr>
      <w:tr w:rsidR="00E71450" w:rsidRPr="00E71450" w14:paraId="783E5181" w14:textId="77777777" w:rsidTr="00E71450">
        <w:trPr>
          <w:jc w:val="center"/>
        </w:trPr>
        <w:tc>
          <w:tcPr>
            <w:tcW w:w="4531" w:type="dxa"/>
          </w:tcPr>
          <w:p w14:paraId="2A6272FB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 xml:space="preserve">Festigung der Identität Ihres Kunden– ggf. Unterstützung bei der Vergangenheitsbewältigung. </w:t>
            </w:r>
          </w:p>
        </w:tc>
        <w:tc>
          <w:tcPr>
            <w:tcW w:w="4531" w:type="dxa"/>
          </w:tcPr>
          <w:p w14:paraId="1DE1BDE2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 xml:space="preserve">In der Erfüllung von spirituellen Bedürfnissen – religiöse Feiertage, Rituale etc. </w:t>
            </w:r>
          </w:p>
        </w:tc>
      </w:tr>
      <w:tr w:rsidR="00E71450" w:rsidRPr="00E71450" w14:paraId="765BDE89" w14:textId="77777777" w:rsidTr="00E71450">
        <w:trPr>
          <w:jc w:val="center"/>
        </w:trPr>
        <w:tc>
          <w:tcPr>
            <w:tcW w:w="4531" w:type="dxa"/>
          </w:tcPr>
          <w:p w14:paraId="09C9A9DE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>Eröffnung (weiterer) Zugangswege und Kontaktmöglichkeiten.</w:t>
            </w:r>
          </w:p>
        </w:tc>
        <w:tc>
          <w:tcPr>
            <w:tcW w:w="4531" w:type="dxa"/>
          </w:tcPr>
          <w:p w14:paraId="1886619F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>Gegenstände, Geräusche oder auch Gerüche zur Aktivierung, Beschäftigung und Erinnerungsarbeit.</w:t>
            </w:r>
          </w:p>
        </w:tc>
      </w:tr>
      <w:tr w:rsidR="00E71450" w:rsidRPr="00E71450" w14:paraId="77338FD5" w14:textId="77777777" w:rsidTr="00E71450">
        <w:trPr>
          <w:jc w:val="center"/>
        </w:trPr>
        <w:tc>
          <w:tcPr>
            <w:tcW w:w="4531" w:type="dxa"/>
          </w:tcPr>
          <w:p w14:paraId="3D751C70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>Vermeidung von Rückzug und Passivität durch passende Themen im Gespräch und zur Aktivierung.</w:t>
            </w:r>
          </w:p>
        </w:tc>
        <w:tc>
          <w:tcPr>
            <w:tcW w:w="4531" w:type="dxa"/>
          </w:tcPr>
          <w:p w14:paraId="50D0D977" w14:textId="77777777" w:rsidR="00E71450" w:rsidRPr="00E71450" w:rsidRDefault="00E71450" w:rsidP="00E71450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E71450">
              <w:rPr>
                <w:rFonts w:ascii="Arial" w:hAnsi="Arial"/>
                <w:sz w:val="24"/>
              </w:rPr>
              <w:t xml:space="preserve">Motivation und Teilhabe durch Gestaltung und Angebote, die lebensgeschichtlichen Bezug aufweisen – z. B. Hobbys oder dem Beruf. </w: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5D36AD8F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E71450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E71450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71450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E71450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E71450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7E555-5F0E-4FE6-B4FD-BFD330658492}"/>
</file>

<file path=customXml/itemProps4.xml><?xml version="1.0" encoding="utf-8"?>
<ds:datastoreItem xmlns:ds="http://schemas.openxmlformats.org/officeDocument/2006/customXml" ds:itemID="{05E61E5B-010E-4D39-811C-7CC4895B10D9}"/>
</file>

<file path=customXml/itemProps5.xml><?xml version="1.0" encoding="utf-8"?>
<ds:datastoreItem xmlns:ds="http://schemas.openxmlformats.org/officeDocument/2006/customXml" ds:itemID="{04C3577A-1E70-4F41-9971-B461CE3A7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2023-05-12T09:57:00Z</dcterms:created>
  <dcterms:modified xsi:type="dcterms:W3CDTF">2023-05-12T09:57:00Z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