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62A26785" w14:textId="77777777" w:rsidR="00AD343D" w:rsidRDefault="00AD343D" w:rsidP="007A7CA7"/>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95"/>
        <w:gridCol w:w="8162"/>
      </w:tblGrid>
      <w:tr w:rsidR="007A7CA7" w14:paraId="612498F8" w14:textId="77777777" w:rsidTr="000C0520">
        <w:trPr>
          <w:cantSplit/>
          <w:trHeight w:val="278"/>
          <w:jc w:val="center"/>
        </w:trPr>
        <w:tc>
          <w:tcPr>
            <w:tcW w:w="10657" w:type="dxa"/>
            <w:gridSpan w:val="2"/>
            <w:tcBorders>
              <w:top w:val="single" w:sz="4" w:space="0" w:color="auto"/>
              <w:left w:val="single" w:sz="4" w:space="0" w:color="auto"/>
              <w:bottom w:val="single" w:sz="4" w:space="0" w:color="auto"/>
              <w:right w:val="single" w:sz="4" w:space="0" w:color="auto"/>
            </w:tcBorders>
            <w:shd w:val="clear" w:color="auto" w:fill="48AC98"/>
            <w:hideMark/>
          </w:tcPr>
          <w:p w14:paraId="612498F7" w14:textId="698D90CA" w:rsidR="007A7CA7" w:rsidRPr="005847A6" w:rsidRDefault="002C30D5">
            <w:pPr>
              <w:spacing w:before="120" w:after="120"/>
              <w:rPr>
                <w:rFonts w:ascii="Arial" w:hAnsi="Arial" w:cs="Arial"/>
                <w:b/>
                <w:sz w:val="28"/>
                <w:szCs w:val="28"/>
              </w:rPr>
            </w:pPr>
            <w:r w:rsidRPr="002C30D5">
              <w:rPr>
                <w:rFonts w:ascii="Arial" w:hAnsi="Arial" w:cs="Arial"/>
                <w:b/>
                <w:sz w:val="28"/>
                <w:szCs w:val="28"/>
              </w:rPr>
              <w:t>5 Top-Gründe für die Digitalisierung Ihrer Pflegedokumentation</w:t>
            </w:r>
          </w:p>
        </w:tc>
      </w:tr>
      <w:tr w:rsidR="002C30D5" w14:paraId="2E8CAADC"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CDC9DD"/>
          </w:tcPr>
          <w:p w14:paraId="72B599CA" w14:textId="709FD3BB" w:rsidR="002C30D5" w:rsidRPr="000C0520" w:rsidRDefault="002C30D5" w:rsidP="000F512A">
            <w:pPr>
              <w:pStyle w:val="Listenabsatz"/>
              <w:spacing w:before="120" w:after="120" w:line="276" w:lineRule="auto"/>
              <w:ind w:left="0"/>
              <w:rPr>
                <w:rFonts w:ascii="Arial" w:hAnsi="Arial" w:cs="Arial"/>
                <w:b/>
                <w:sz w:val="24"/>
              </w:rPr>
            </w:pPr>
            <w:r w:rsidRPr="002C30D5">
              <w:rPr>
                <w:rFonts w:ascii="Arial" w:hAnsi="Arial" w:cs="Arial"/>
                <w:b/>
                <w:sz w:val="24"/>
              </w:rPr>
              <w:t>Vorteil</w:t>
            </w:r>
          </w:p>
        </w:tc>
        <w:tc>
          <w:tcPr>
            <w:tcW w:w="8162" w:type="dxa"/>
            <w:tcBorders>
              <w:top w:val="single" w:sz="4" w:space="0" w:color="auto"/>
              <w:left w:val="single" w:sz="4" w:space="0" w:color="auto"/>
              <w:bottom w:val="single" w:sz="4" w:space="0" w:color="auto"/>
              <w:right w:val="single" w:sz="4" w:space="0" w:color="auto"/>
            </w:tcBorders>
            <w:shd w:val="clear" w:color="auto" w:fill="CDC9DD"/>
          </w:tcPr>
          <w:p w14:paraId="3BD9D351" w14:textId="518B02BA" w:rsidR="002C30D5" w:rsidRPr="00095F8E" w:rsidRDefault="002C30D5" w:rsidP="000F512A">
            <w:pPr>
              <w:pStyle w:val="Listenabsatz"/>
              <w:spacing w:before="120" w:after="120" w:line="276" w:lineRule="auto"/>
              <w:ind w:left="0"/>
              <w:rPr>
                <w:rFonts w:ascii="Arial" w:hAnsi="Arial" w:cs="Arial"/>
                <w:b/>
                <w:sz w:val="24"/>
              </w:rPr>
            </w:pPr>
            <w:r w:rsidRPr="002C30D5">
              <w:rPr>
                <w:rFonts w:ascii="Arial" w:hAnsi="Arial" w:cs="Arial"/>
                <w:b/>
                <w:sz w:val="24"/>
              </w:rPr>
              <w:t>Beschreibung</w:t>
            </w:r>
          </w:p>
        </w:tc>
      </w:tr>
      <w:tr w:rsidR="002C30D5" w:rsidRPr="00095F8E" w14:paraId="0D0CA6F7"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auto"/>
          </w:tcPr>
          <w:p w14:paraId="3496DD28" w14:textId="3C61E68A" w:rsidR="002C30D5" w:rsidRPr="00095F8E"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Aktualisierte Skalen, Assessments und Vorgaben</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4B440F52" w14:textId="20B2AB42" w:rsidR="002C30D5" w:rsidRPr="00095F8E"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Der Anbieter der Dokumentationssoftware hält Skalen, Assessments und Vorgaben stets aktuell. Sie müssen nicht mehr der aktuellen Version hinterherlaufen, da die Software automatisch aktualisiert wird.</w:t>
            </w:r>
          </w:p>
        </w:tc>
      </w:tr>
      <w:tr w:rsidR="002C30D5" w:rsidRPr="00095F8E" w14:paraId="40BAFD44"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auto"/>
          </w:tcPr>
          <w:p w14:paraId="45F7A7A7" w14:textId="40F8C6ED" w:rsidR="002C30D5" w:rsidRPr="00095F8E"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Textbausteine und Live-Übersetzungen</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789D2C57" w14:textId="4BC09C43" w:rsidR="002C30D5" w:rsidRPr="00095F8E"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Die Software erleichtert die Dokumentation durch die Bereitstellung von Textbausteinen. Falls Deutsch nicht Ihre Mutterspra­che ist, werden (Simultan­)Übersetzungen angeboten, um Fehler und lückenhafte Informationen zu minimieren.</w:t>
            </w:r>
          </w:p>
        </w:tc>
      </w:tr>
      <w:tr w:rsidR="002C30D5" w:rsidRPr="00095F8E" w14:paraId="083C409C"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auto"/>
          </w:tcPr>
          <w:p w14:paraId="315C3951" w14:textId="1BFABF59"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Intelligente Datenauswertung und</w:t>
            </w:r>
            <w:r>
              <w:rPr>
                <w:rFonts w:ascii="Arial" w:hAnsi="Arial" w:cs="Arial"/>
                <w:bCs w:val="0"/>
                <w:sz w:val="24"/>
              </w:rPr>
              <w:t xml:space="preserve"> </w:t>
            </w:r>
            <w:r w:rsidRPr="002C30D5">
              <w:rPr>
                <w:rFonts w:ascii="Arial" w:hAnsi="Arial" w:cs="Arial"/>
                <w:bCs w:val="0"/>
                <w:sz w:val="24"/>
              </w:rPr>
              <w:t>-nutzung</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3A0FB915" w14:textId="06FDE73D"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Intelligente Systeme analysieren und visualisieren Datenverläufe, erkennen negative Entwicklungen beim Pflegebedürftigen und können geeignete Maßnahmen vorschlagen. Mit Einverständnis des Pflegebedürftigen können Daten mit Haus­ oder Fachärzten geteilt werden, um die Versorgung zu optimieren.</w:t>
            </w:r>
          </w:p>
        </w:tc>
      </w:tr>
      <w:tr w:rsidR="002C30D5" w:rsidRPr="00095F8E" w14:paraId="547A90D2"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auto"/>
          </w:tcPr>
          <w:p w14:paraId="5CAE1A65" w14:textId="39C4E851"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Reduzierung von</w:t>
            </w:r>
            <w:r>
              <w:rPr>
                <w:rFonts w:ascii="Arial" w:hAnsi="Arial" w:cs="Arial"/>
                <w:bCs w:val="0"/>
                <w:sz w:val="24"/>
              </w:rPr>
              <w:t xml:space="preserve"> </w:t>
            </w:r>
            <w:r w:rsidRPr="002C30D5">
              <w:rPr>
                <w:rFonts w:ascii="Arial" w:hAnsi="Arial" w:cs="Arial"/>
                <w:bCs w:val="0"/>
                <w:sz w:val="24"/>
              </w:rPr>
              <w:t>Papier</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1E378F20" w14:textId="1F0EBCE3"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Durch den Einsatz der digitalen Dokumentationssoftware wird weniger Papier benötigt. Dies reduziert Platzprobleme auf den Stationen, da Ordner und Faxgeräte mittelfristig nicht mehr in dem Umfang erforderlich sind.</w:t>
            </w:r>
          </w:p>
        </w:tc>
      </w:tr>
      <w:tr w:rsidR="002C30D5" w:rsidRPr="00095F8E" w14:paraId="5BD2DB86" w14:textId="77777777" w:rsidTr="002C30D5">
        <w:trPr>
          <w:jc w:val="center"/>
        </w:trPr>
        <w:tc>
          <w:tcPr>
            <w:tcW w:w="2495" w:type="dxa"/>
            <w:tcBorders>
              <w:top w:val="single" w:sz="4" w:space="0" w:color="auto"/>
              <w:left w:val="single" w:sz="4" w:space="0" w:color="auto"/>
              <w:bottom w:val="single" w:sz="4" w:space="0" w:color="auto"/>
              <w:right w:val="single" w:sz="4" w:space="0" w:color="auto"/>
            </w:tcBorders>
            <w:shd w:val="clear" w:color="auto" w:fill="auto"/>
          </w:tcPr>
          <w:p w14:paraId="4EBA0F8C" w14:textId="3762683A"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Gesundheits</w:t>
            </w:r>
            <w:r>
              <w:rPr>
                <w:rFonts w:ascii="Arial" w:hAnsi="Arial" w:cs="Arial"/>
                <w:bCs w:val="0"/>
                <w:sz w:val="24"/>
              </w:rPr>
              <w:t>-</w:t>
            </w:r>
            <w:r w:rsidRPr="002C30D5">
              <w:rPr>
                <w:rFonts w:ascii="Arial" w:hAnsi="Arial" w:cs="Arial"/>
                <w:bCs w:val="0"/>
                <w:sz w:val="24"/>
              </w:rPr>
              <w:t>überwachung in Echtzeit</w:t>
            </w:r>
          </w:p>
        </w:tc>
        <w:tc>
          <w:tcPr>
            <w:tcW w:w="8162" w:type="dxa"/>
            <w:tcBorders>
              <w:top w:val="single" w:sz="4" w:space="0" w:color="auto"/>
              <w:left w:val="single" w:sz="4" w:space="0" w:color="auto"/>
              <w:bottom w:val="single" w:sz="4" w:space="0" w:color="auto"/>
              <w:right w:val="single" w:sz="4" w:space="0" w:color="auto"/>
            </w:tcBorders>
            <w:shd w:val="clear" w:color="auto" w:fill="auto"/>
          </w:tcPr>
          <w:p w14:paraId="52F35363" w14:textId="4963B0C4" w:rsidR="002C30D5" w:rsidRPr="002C30D5" w:rsidRDefault="002C30D5" w:rsidP="000F512A">
            <w:pPr>
              <w:pStyle w:val="Listenabsatz"/>
              <w:spacing w:before="120" w:after="120" w:line="276" w:lineRule="auto"/>
              <w:ind w:left="0"/>
              <w:rPr>
                <w:rFonts w:ascii="Arial" w:hAnsi="Arial" w:cs="Arial"/>
                <w:bCs w:val="0"/>
                <w:sz w:val="24"/>
              </w:rPr>
            </w:pPr>
            <w:r w:rsidRPr="002C30D5">
              <w:rPr>
                <w:rFonts w:ascii="Arial" w:hAnsi="Arial" w:cs="Arial"/>
                <w:bCs w:val="0"/>
                <w:sz w:val="24"/>
              </w:rPr>
              <w:t>Sensoren in Sesseln, Betten und Wearables übermitteln Vitalparameter in Echtzeit, die sofort in der digitalen Akte des Pflegebedürftigen eingetragen werden. Dies ermöglicht eine kontinuierliche Überwachung des Gesundheitszustands ohne Verzögerungen oder unleserliche Handschriften.</w:t>
            </w:r>
          </w:p>
        </w:tc>
      </w:tr>
    </w:tbl>
    <w:p w14:paraId="40266A9C" w14:textId="24947CE9" w:rsidR="00067069" w:rsidRDefault="00067069" w:rsidP="00436E01"/>
    <w:sectPr w:rsidR="00067069" w:rsidSect="000C0520">
      <w:headerReference w:type="default" r:id="rId9"/>
      <w:pgSz w:w="11906" w:h="16838" w:code="9"/>
      <w:pgMar w:top="-56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CD04DD">
      <w:trPr>
        <w:trHeight w:val="1221"/>
        <w:jc w:val="center"/>
      </w:trPr>
      <w:tc>
        <w:tcPr>
          <w:tcW w:w="1361" w:type="pct"/>
          <w:shd w:val="clear" w:color="auto" w:fill="9E95BD"/>
          <w:vAlign w:val="center"/>
        </w:tcPr>
        <w:p w14:paraId="61249911" w14:textId="2573C563" w:rsidR="00067069" w:rsidRPr="007A7CA7" w:rsidRDefault="00067069" w:rsidP="005E1850">
          <w:pPr>
            <w:pStyle w:val="Kopfzeile"/>
            <w:jc w:val="center"/>
            <w:rPr>
              <w:b/>
              <w:color w:val="FFFFFF"/>
            </w:rPr>
          </w:pPr>
          <w:r>
            <w:rPr>
              <w:b/>
              <w:color w:val="FFFFFF"/>
              <w:sz w:val="24"/>
            </w:rPr>
            <w:t>Ausgabe 0</w:t>
          </w:r>
          <w:r w:rsidR="000F512A">
            <w:rPr>
              <w:b/>
              <w:color w:val="FFFFFF"/>
              <w:sz w:val="24"/>
            </w:rPr>
            <w:t>6</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p>
      </w:tc>
      <w:tc>
        <w:tcPr>
          <w:tcW w:w="3639" w:type="pct"/>
          <w:shd w:val="clear" w:color="auto" w:fill="auto"/>
        </w:tcPr>
        <w:p w14:paraId="61249912" w14:textId="3CBB82CC" w:rsidR="00AD343D" w:rsidRPr="00AD343D" w:rsidRDefault="002C30D5" w:rsidP="00067069">
          <w:pPr>
            <w:pStyle w:val="Kopfzeile"/>
            <w:rPr>
              <w:rFonts w:ascii="Myriad Pro" w:hAnsi="Myriad Pro"/>
              <w:color w:val="FFFFFF" w:themeColor="background1"/>
              <w:sz w:val="24"/>
            </w:rPr>
          </w:pPr>
          <w:r>
            <w:rPr>
              <w:rFonts w:ascii="Myriad Pro" w:hAnsi="Myriad Pro"/>
              <w:noProof/>
              <w:color w:val="FFFFFF"/>
              <w:sz w:val="24"/>
            </w:rPr>
            <w:pict w14:anchorId="64333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47.8pt;height:61.2pt;visibility:visible;mso-wrap-style:square">
                <v:imagedata r:id="rId1" o:title=""/>
              </v:shape>
            </w:pict>
          </w:r>
          <w:r w:rsidR="00CD04DD">
            <w:rPr>
              <w:noProof/>
            </w:rPr>
            <w:t xml:space="preserve"> </w:t>
          </w:r>
          <w:r>
            <w:rPr>
              <w:rFonts w:ascii="Myriad Pro" w:hAnsi="Myriad Pro"/>
              <w:noProof/>
              <w:color w:val="FFFFFF"/>
              <w:sz w:val="24"/>
            </w:rPr>
            <w:pict w14:anchorId="5C64914D">
              <v:shape id="_x0000_i1042" type="#_x0000_t75" style="width:1in;height:69.6pt;visibility:visible;mso-wrap-style:square">
                <v:imagedata r:id="rId2"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9"/>
  </w:num>
  <w:num w:numId="2" w16cid:durableId="1768882820">
    <w:abstractNumId w:val="19"/>
  </w:num>
  <w:num w:numId="3" w16cid:durableId="35158390">
    <w:abstractNumId w:val="21"/>
  </w:num>
  <w:num w:numId="4" w16cid:durableId="1582063786">
    <w:abstractNumId w:val="10"/>
  </w:num>
  <w:num w:numId="5" w16cid:durableId="460341628">
    <w:abstractNumId w:val="6"/>
  </w:num>
  <w:num w:numId="6" w16cid:durableId="1363944139">
    <w:abstractNumId w:val="7"/>
  </w:num>
  <w:num w:numId="7" w16cid:durableId="518814105">
    <w:abstractNumId w:val="12"/>
  </w:num>
  <w:num w:numId="8" w16cid:durableId="484511790">
    <w:abstractNumId w:val="11"/>
  </w:num>
  <w:num w:numId="9" w16cid:durableId="1082413873">
    <w:abstractNumId w:val="8"/>
  </w:num>
  <w:num w:numId="10" w16cid:durableId="1074082828">
    <w:abstractNumId w:val="5"/>
  </w:num>
  <w:num w:numId="11" w16cid:durableId="1311444557">
    <w:abstractNumId w:val="20"/>
  </w:num>
  <w:num w:numId="12" w16cid:durableId="1903829581">
    <w:abstractNumId w:val="14"/>
  </w:num>
  <w:num w:numId="13" w16cid:durableId="405805395">
    <w:abstractNumId w:val="15"/>
  </w:num>
  <w:num w:numId="14" w16cid:durableId="1365642997">
    <w:abstractNumId w:val="13"/>
  </w:num>
  <w:num w:numId="15" w16cid:durableId="135924038">
    <w:abstractNumId w:val="16"/>
  </w:num>
  <w:num w:numId="16" w16cid:durableId="1397776156">
    <w:abstractNumId w:val="17"/>
  </w:num>
  <w:num w:numId="17" w16cid:durableId="1943148140">
    <w:abstractNumId w:val="18"/>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evenAndOddHeaders/>
  <w:characterSpacingControl w:val="doNotCompress"/>
  <w:hdrShapeDefaults>
    <o:shapedefaults v:ext="edit" spidmax="1024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95F8E"/>
    <w:rsid w:val="000B50CC"/>
    <w:rsid w:val="000C0520"/>
    <w:rsid w:val="000C6A2D"/>
    <w:rsid w:val="000F512A"/>
    <w:rsid w:val="0015409B"/>
    <w:rsid w:val="001849BE"/>
    <w:rsid w:val="001B429B"/>
    <w:rsid w:val="00205D0C"/>
    <w:rsid w:val="0027096C"/>
    <w:rsid w:val="002766CF"/>
    <w:rsid w:val="0028515F"/>
    <w:rsid w:val="002A5853"/>
    <w:rsid w:val="002A5D13"/>
    <w:rsid w:val="002B029B"/>
    <w:rsid w:val="002B4419"/>
    <w:rsid w:val="002C30D5"/>
    <w:rsid w:val="002D45E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14142"/>
    <w:rsid w:val="00726F02"/>
    <w:rsid w:val="00782522"/>
    <w:rsid w:val="007A7CA7"/>
    <w:rsid w:val="007B0290"/>
    <w:rsid w:val="007B33DF"/>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A4A0E"/>
    <w:rsid w:val="00AC136E"/>
    <w:rsid w:val="00AD343D"/>
    <w:rsid w:val="00B01FFE"/>
    <w:rsid w:val="00B31A35"/>
    <w:rsid w:val="00B707AF"/>
    <w:rsid w:val="00B87D52"/>
    <w:rsid w:val="00BD71E9"/>
    <w:rsid w:val="00C135D1"/>
    <w:rsid w:val="00C310AF"/>
    <w:rsid w:val="00C33C15"/>
    <w:rsid w:val="00C6025F"/>
    <w:rsid w:val="00C73E1A"/>
    <w:rsid w:val="00CC38C8"/>
    <w:rsid w:val="00CD04DD"/>
    <w:rsid w:val="00D86187"/>
    <w:rsid w:val="00DB32C7"/>
    <w:rsid w:val="00E1355A"/>
    <w:rsid w:val="00E2265E"/>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C9DF0512-FA18-4B10-BC0A-28E478542D5B}"/>
</file>

<file path=customXml/itemProps4.xml><?xml version="1.0" encoding="utf-8"?>
<ds:datastoreItem xmlns:ds="http://schemas.openxmlformats.org/officeDocument/2006/customXml" ds:itemID="{F6B32422-AFDA-442B-976B-EF73EC3DA4F7}"/>
</file>

<file path=customXml/itemProps5.xml><?xml version="1.0" encoding="utf-8"?>
<ds:datastoreItem xmlns:ds="http://schemas.openxmlformats.org/officeDocument/2006/customXml" ds:itemID="{3E202466-1BFE-4B78-B6C8-55DC4E7B9621}"/>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2024-08-19T09:47:00Z</dcterms:created>
  <dcterms:modified xsi:type="dcterms:W3CDTF">2024-08-19T09:47:00Z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