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C9AEB72" w14:textId="343AB983" w:rsidR="004018DA" w:rsidRPr="004232E3" w:rsidRDefault="007A7CA7" w:rsidP="004232E3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476EBF0" w14:textId="77777777" w:rsidR="006A042A" w:rsidRDefault="006A042A" w:rsidP="004018DA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2F23573F" w14:textId="77777777" w:rsidR="006A1E17" w:rsidRDefault="006A1E17" w:rsidP="004018DA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8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2"/>
      </w:tblGrid>
      <w:tr w:rsidR="006A1E17" w:rsidRPr="000B237E" w14:paraId="56AD1284" w14:textId="77777777" w:rsidTr="006A1E17">
        <w:trPr>
          <w:trHeight w:val="322"/>
          <w:jc w:val="center"/>
        </w:trPr>
        <w:tc>
          <w:tcPr>
            <w:tcW w:w="8052" w:type="dxa"/>
            <w:shd w:val="clear" w:color="auto" w:fill="48AC98"/>
          </w:tcPr>
          <w:p w14:paraId="153CC061" w14:textId="20CF8CF4" w:rsidR="006A1E17" w:rsidRPr="000B237E" w:rsidRDefault="006A1E17" w:rsidP="009C48E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B237E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V</w:t>
            </w:r>
            <w:r w:rsidRPr="000B237E">
              <w:rPr>
                <w:rFonts w:ascii="Arial" w:hAnsi="Arial" w:cs="Arial"/>
                <w:b/>
                <w:color w:val="FFFFFF"/>
                <w:sz w:val="28"/>
                <w:szCs w:val="28"/>
              </w:rPr>
              <w:t>erschiedene Formen der Demenz</w:t>
            </w:r>
          </w:p>
        </w:tc>
      </w:tr>
      <w:tr w:rsidR="006A1E17" w:rsidRPr="000B237E" w14:paraId="13CD71BE" w14:textId="77777777" w:rsidTr="006A1E17">
        <w:trPr>
          <w:trHeight w:val="70"/>
          <w:jc w:val="center"/>
        </w:trPr>
        <w:tc>
          <w:tcPr>
            <w:tcW w:w="8052" w:type="dxa"/>
            <w:shd w:val="clear" w:color="auto" w:fill="CDC9DD"/>
          </w:tcPr>
          <w:p w14:paraId="48AC4485" w14:textId="77777777" w:rsidR="006A1E17" w:rsidRPr="006A1E17" w:rsidRDefault="006A1E17" w:rsidP="009C48E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A1E1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Primäre Demenzen (90 %) </w:t>
            </w:r>
          </w:p>
        </w:tc>
      </w:tr>
      <w:tr w:rsidR="006A1E17" w:rsidRPr="000B237E" w14:paraId="1C4852AF" w14:textId="77777777" w:rsidTr="006A1E17">
        <w:trPr>
          <w:trHeight w:val="1043"/>
          <w:jc w:val="center"/>
        </w:trPr>
        <w:tc>
          <w:tcPr>
            <w:tcW w:w="8052" w:type="dxa"/>
          </w:tcPr>
          <w:p w14:paraId="4B914E2E" w14:textId="77777777" w:rsidR="006A1E17" w:rsidRPr="006A1E17" w:rsidRDefault="006A1E17" w:rsidP="009C48E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>Bei diesen Demenzen liegt die Ursache im Gehirn, dabei wird Hirnmasse ab</w:t>
            </w:r>
            <w:r w:rsidRPr="006A1E17">
              <w:rPr>
                <w:rFonts w:ascii="Arial" w:hAnsi="Arial" w:cs="Arial"/>
                <w:color w:val="000000"/>
                <w:sz w:val="24"/>
              </w:rPr>
              <w:softHyphen/>
              <w:t xml:space="preserve">gebaut. Diese Demenzen entwickeln sich zunehmend verschlechternd und sind nicht heilbar. Beispielhaft zu nennen wären hier: </w:t>
            </w:r>
          </w:p>
          <w:p w14:paraId="2071117B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Demenz vom Alzheimer-Typ (60 % aller Demenzen) </w:t>
            </w:r>
          </w:p>
          <w:p w14:paraId="2CB85C33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Multi-Infarkt-Demenz (vaskuläre Demenz) </w:t>
            </w:r>
          </w:p>
          <w:p w14:paraId="37B5D311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Lewy-Body-Demenz </w:t>
            </w:r>
          </w:p>
          <w:p w14:paraId="556EF20A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frontotemporale Demenz </w:t>
            </w:r>
          </w:p>
        </w:tc>
      </w:tr>
      <w:tr w:rsidR="006A1E17" w:rsidRPr="000B237E" w14:paraId="0A7ED3B0" w14:textId="77777777" w:rsidTr="006A1E17">
        <w:trPr>
          <w:jc w:val="center"/>
        </w:trPr>
        <w:tc>
          <w:tcPr>
            <w:tcW w:w="8052" w:type="dxa"/>
            <w:shd w:val="clear" w:color="auto" w:fill="CDC9DD"/>
          </w:tcPr>
          <w:p w14:paraId="1D98D061" w14:textId="77777777" w:rsidR="006A1E17" w:rsidRPr="006A1E17" w:rsidRDefault="006A1E17" w:rsidP="009C48E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A1E1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Sekundäre Demenzen (10 %) </w:t>
            </w:r>
          </w:p>
        </w:tc>
      </w:tr>
      <w:tr w:rsidR="006A1E17" w:rsidRPr="000B237E" w14:paraId="089EEAA5" w14:textId="77777777" w:rsidTr="006A1E17">
        <w:trPr>
          <w:trHeight w:val="70"/>
          <w:jc w:val="center"/>
        </w:trPr>
        <w:tc>
          <w:tcPr>
            <w:tcW w:w="8052" w:type="dxa"/>
          </w:tcPr>
          <w:p w14:paraId="3E8BAE20" w14:textId="77777777" w:rsidR="006A1E17" w:rsidRPr="006A1E17" w:rsidRDefault="006A1E17" w:rsidP="009C48EF">
            <w:pPr>
              <w:spacing w:before="120" w:after="120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>Hier liegen andere primäre Erkrankungen zugrunde (zirka 60–70 verschiede</w:t>
            </w:r>
            <w:r w:rsidRPr="006A1E17">
              <w:rPr>
                <w:rFonts w:ascii="Arial" w:hAnsi="Arial" w:cs="Arial"/>
                <w:color w:val="000000"/>
                <w:sz w:val="24"/>
              </w:rPr>
              <w:softHyphen/>
              <w:t xml:space="preserve">ne), die nach außen wie eine Demenz wirken. Mitunter sind sie sogar heil-bzw. behandelbar. Beispielhaft zu nennen wären hier: </w:t>
            </w:r>
          </w:p>
          <w:p w14:paraId="0FA3DB64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Hypothyreose </w:t>
            </w:r>
          </w:p>
          <w:p w14:paraId="1C245609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Hirntumor </w:t>
            </w:r>
          </w:p>
          <w:p w14:paraId="39054E6B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Normaldruck-Hydrozephalus </w:t>
            </w:r>
          </w:p>
          <w:p w14:paraId="1B9E2CB9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schwere Depression (depressive Pseudodemenz) </w:t>
            </w:r>
          </w:p>
          <w:p w14:paraId="1E26847C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Stenose der Karotis </w:t>
            </w:r>
          </w:p>
          <w:p w14:paraId="46B54344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Exsikkose </w:t>
            </w:r>
          </w:p>
          <w:p w14:paraId="32E266B7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Korsakow-Demenz </w:t>
            </w:r>
          </w:p>
          <w:p w14:paraId="328B3A3F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Demenz beim primären Parkinson </w:t>
            </w:r>
          </w:p>
          <w:p w14:paraId="22464C78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 xml:space="preserve">Delir </w:t>
            </w:r>
          </w:p>
          <w:p w14:paraId="7DF0594D" w14:textId="77777777" w:rsidR="006A1E17" w:rsidRPr="006A1E17" w:rsidRDefault="006A1E17" w:rsidP="006A1E17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86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6A1E17">
              <w:rPr>
                <w:rFonts w:ascii="Arial" w:hAnsi="Arial" w:cs="Arial"/>
                <w:color w:val="000000"/>
                <w:sz w:val="24"/>
              </w:rPr>
              <w:t>etc.</w:t>
            </w:r>
          </w:p>
        </w:tc>
      </w:tr>
    </w:tbl>
    <w:p w14:paraId="44CD5B84" w14:textId="77777777" w:rsidR="006A1E17" w:rsidRPr="004018DA" w:rsidRDefault="006A1E17" w:rsidP="004018DA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6A1E17" w:rsidRPr="004018DA" w:rsidSect="004018DA">
      <w:headerReference w:type="default" r:id="rId9"/>
      <w:pgSz w:w="11906" w:h="16838" w:code="9"/>
      <w:pgMar w:top="-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CD04DD">
      <w:trPr>
        <w:trHeight w:val="1221"/>
        <w:jc w:val="center"/>
      </w:trPr>
      <w:tc>
        <w:tcPr>
          <w:tcW w:w="1361" w:type="pct"/>
          <w:shd w:val="clear" w:color="auto" w:fill="9E95BD"/>
          <w:vAlign w:val="center"/>
        </w:tcPr>
        <w:p w14:paraId="61249911" w14:textId="5FFEF5FD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CB1952">
            <w:rPr>
              <w:b/>
              <w:color w:val="FFFFFF"/>
              <w:sz w:val="24"/>
            </w:rPr>
            <w:t>8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  <w:r w:rsidR="006A1E17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6A1E17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5" type="#_x0000_t75" style="width:247.8pt;height:61.2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76" type="#_x0000_t75" style="width:1in;height:69.6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C160C"/>
    <w:multiLevelType w:val="hybridMultilevel"/>
    <w:tmpl w:val="1E3077E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D677D"/>
    <w:multiLevelType w:val="hybridMultilevel"/>
    <w:tmpl w:val="E0E8B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F0A6C"/>
    <w:multiLevelType w:val="hybridMultilevel"/>
    <w:tmpl w:val="96640A3E"/>
    <w:lvl w:ilvl="0" w:tplc="69F8A8EC">
      <w:numFmt w:val="bullet"/>
      <w:pStyle w:val="Grund"/>
      <w:lvlText w:val=""/>
      <w:lvlJc w:val="left"/>
      <w:pPr>
        <w:ind w:left="720" w:hanging="360"/>
      </w:pPr>
      <w:rPr>
        <w:rFonts w:ascii="Symbol" w:hAnsi="Symbol" w:hint="default"/>
        <w:color w:val="9E95BD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0"/>
  </w:num>
  <w:num w:numId="3" w16cid:durableId="35158390">
    <w:abstractNumId w:val="23"/>
  </w:num>
  <w:num w:numId="4" w16cid:durableId="1582063786">
    <w:abstractNumId w:val="11"/>
  </w:num>
  <w:num w:numId="5" w16cid:durableId="460341628">
    <w:abstractNumId w:val="6"/>
  </w:num>
  <w:num w:numId="6" w16cid:durableId="1363944139">
    <w:abstractNumId w:val="8"/>
  </w:num>
  <w:num w:numId="7" w16cid:durableId="518814105">
    <w:abstractNumId w:val="13"/>
  </w:num>
  <w:num w:numId="8" w16cid:durableId="484511790">
    <w:abstractNumId w:val="12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5"/>
  </w:num>
  <w:num w:numId="13" w16cid:durableId="405805395">
    <w:abstractNumId w:val="16"/>
  </w:num>
  <w:num w:numId="14" w16cid:durableId="1365642997">
    <w:abstractNumId w:val="14"/>
  </w:num>
  <w:num w:numId="15" w16cid:durableId="135924038">
    <w:abstractNumId w:val="17"/>
  </w:num>
  <w:num w:numId="16" w16cid:durableId="1397776156">
    <w:abstractNumId w:val="18"/>
  </w:num>
  <w:num w:numId="17" w16cid:durableId="1943148140">
    <w:abstractNumId w:val="19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879047369">
    <w:abstractNumId w:val="24"/>
  </w:num>
  <w:num w:numId="24" w16cid:durableId="311564321">
    <w:abstractNumId w:val="22"/>
  </w:num>
  <w:num w:numId="25" w16cid:durableId="12756778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018DA"/>
    <w:rsid w:val="00410822"/>
    <w:rsid w:val="0042075B"/>
    <w:rsid w:val="004232E3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433F5"/>
    <w:rsid w:val="00653E72"/>
    <w:rsid w:val="00661981"/>
    <w:rsid w:val="006A042A"/>
    <w:rsid w:val="006A1E17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C3512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B1952"/>
    <w:rsid w:val="00CC38C8"/>
    <w:rsid w:val="00CD04DD"/>
    <w:rsid w:val="00D86187"/>
    <w:rsid w:val="00DB32C7"/>
    <w:rsid w:val="00E1355A"/>
    <w:rsid w:val="00E2265E"/>
    <w:rsid w:val="00E531AC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CB1952"/>
    <w:rPr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0">
    <w:name w:val="Grund"/>
    <w:basedOn w:val="Standard"/>
    <w:qFormat/>
    <w:rsid w:val="00CB1952"/>
    <w:pPr>
      <w:spacing w:after="120" w:line="240" w:lineRule="auto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WahlBefehlNum2">
    <w:name w:val="Wahl+Befehl+Num2"/>
    <w:qFormat/>
    <w:rsid w:val="00CB1952"/>
    <w:pPr>
      <w:spacing w:after="120"/>
    </w:pPr>
    <w:rPr>
      <w:rFonts w:ascii="Arial Narrow" w:hAnsi="Arial Narrow" w:cs="Arial"/>
      <w:b/>
      <w:bCs/>
      <w:i/>
      <w:iCs/>
      <w:color w:val="0690CF"/>
      <w:kern w:val="2"/>
      <w:sz w:val="24"/>
      <w:szCs w:val="24"/>
      <w:lang w:eastAsia="en-US"/>
    </w:rPr>
  </w:style>
  <w:style w:type="paragraph" w:customStyle="1" w:styleId="Grund">
    <w:name w:val="Grund •"/>
    <w:basedOn w:val="Listenabsatz"/>
    <w:qFormat/>
    <w:rsid w:val="00CB1952"/>
    <w:pPr>
      <w:numPr>
        <w:numId w:val="23"/>
      </w:numPr>
      <w:spacing w:after="120"/>
      <w:ind w:firstLine="0"/>
      <w:contextualSpacing w:val="0"/>
    </w:pPr>
    <w:rPr>
      <w:rFonts w:ascii="Arial" w:eastAsia="Calibri" w:hAnsi="Arial" w:cs="Arial"/>
      <w:bCs w:val="0"/>
      <w:kern w:val="2"/>
      <w:szCs w:val="19"/>
      <w:lang w:eastAsia="en-US"/>
    </w:rPr>
  </w:style>
  <w:style w:type="paragraph" w:customStyle="1" w:styleId="Grund123b">
    <w:name w:val="Grund 123 b"/>
    <w:basedOn w:val="Standard"/>
    <w:qFormat/>
    <w:rsid w:val="004232E3"/>
    <w:pPr>
      <w:spacing w:before="120" w:after="120" w:line="240" w:lineRule="auto"/>
    </w:pPr>
    <w:rPr>
      <w:rFonts w:ascii="Arial Narrow" w:hAnsi="Arial Narrow"/>
      <w:b/>
      <w:bCs/>
      <w:color w:val="D98329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39F630-13C7-4294-BBD3-51CE1DCC5ED0}"/>
</file>

<file path=customXml/itemProps4.xml><?xml version="1.0" encoding="utf-8"?>
<ds:datastoreItem xmlns:ds="http://schemas.openxmlformats.org/officeDocument/2006/customXml" ds:itemID="{EAADB5A8-CE50-405A-B01D-00D3F14A3A2C}"/>
</file>

<file path=customXml/itemProps5.xml><?xml version="1.0" encoding="utf-8"?>
<ds:datastoreItem xmlns:ds="http://schemas.openxmlformats.org/officeDocument/2006/customXml" ds:itemID="{27BB072E-605B-4E5E-96F0-64DDA10DB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2024-08-08T15:51:00Z</dcterms:created>
  <dcterms:modified xsi:type="dcterms:W3CDTF">2024-08-08T15:51:00Z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