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184999EA" w:rsidR="00C53089" w:rsidRPr="00E475C4" w:rsidRDefault="002C7A46" w:rsidP="00347025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2C7A46">
              <w:rPr>
                <w:rFonts w:ascii="Arial" w:hAnsi="Arial" w:cs="Arial"/>
                <w:b/>
                <w:color w:val="A39863"/>
                <w:sz w:val="32"/>
              </w:rPr>
              <w:t>Wundklassifikation (Klassifikation Dekubitus nach NPUAP/EPUAP)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2C2C5785" w:rsidR="00C53089" w:rsidRPr="002A2E77" w:rsidRDefault="002C7A46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3CF358CE" w14:textId="34D88275" w:rsidR="00D02068" w:rsidRPr="002C7A46" w:rsidRDefault="00F80234" w:rsidP="002C7A4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496D6300" w14:textId="77777777" w:rsidR="002C7A46" w:rsidRDefault="002C7A46" w:rsidP="002345B4">
      <w:pPr>
        <w:rPr>
          <w:rFonts w:ascii="Arial" w:hAnsi="Arial" w:cs="Arial"/>
          <w:color w:val="00000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2660"/>
        <w:gridCol w:w="3630"/>
        <w:gridCol w:w="3457"/>
      </w:tblGrid>
      <w:tr w:rsidR="002C7A46" w:rsidRPr="002C7A46" w14:paraId="72930947" w14:textId="77777777" w:rsidTr="002C7A46">
        <w:trPr>
          <w:jc w:val="center"/>
        </w:trPr>
        <w:tc>
          <w:tcPr>
            <w:tcW w:w="2660" w:type="dxa"/>
            <w:shd w:val="clear" w:color="auto" w:fill="0098BB"/>
          </w:tcPr>
          <w:p w14:paraId="467374DB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>Stadium</w:t>
            </w:r>
          </w:p>
        </w:tc>
        <w:tc>
          <w:tcPr>
            <w:tcW w:w="3630" w:type="dxa"/>
            <w:shd w:val="clear" w:color="auto" w:fill="0098BB"/>
          </w:tcPr>
          <w:p w14:paraId="5656C0C9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>Hauptmerkmal</w:t>
            </w:r>
          </w:p>
        </w:tc>
        <w:tc>
          <w:tcPr>
            <w:tcW w:w="3457" w:type="dxa"/>
            <w:shd w:val="clear" w:color="auto" w:fill="0098BB"/>
          </w:tcPr>
          <w:p w14:paraId="592EC6F2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>Weitere Klassifikation/Anmerkungen</w:t>
            </w:r>
          </w:p>
        </w:tc>
      </w:tr>
      <w:tr w:rsidR="002C7A46" w:rsidRPr="002C7A46" w14:paraId="65F5105D" w14:textId="77777777" w:rsidTr="002C7A46">
        <w:trPr>
          <w:jc w:val="center"/>
        </w:trPr>
        <w:tc>
          <w:tcPr>
            <w:tcW w:w="2660" w:type="dxa"/>
            <w:shd w:val="clear" w:color="auto" w:fill="auto"/>
          </w:tcPr>
          <w:p w14:paraId="0DD7E10E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>I: Nicht wegdrückbares Erythem</w:t>
            </w:r>
          </w:p>
          <w:p w14:paraId="2DE19E18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30" w:type="dxa"/>
          </w:tcPr>
          <w:p w14:paraId="437AC78D" w14:textId="77777777" w:rsidR="002C7A46" w:rsidRPr="002C7A46" w:rsidRDefault="002C7A46" w:rsidP="002C7A46">
            <w:pPr>
              <w:rPr>
                <w:rFonts w:ascii="Arial" w:hAnsi="Arial" w:cs="Arial"/>
                <w:bCs/>
                <w:color w:val="000000"/>
              </w:rPr>
            </w:pPr>
            <w:r w:rsidRPr="002C7A46">
              <w:rPr>
                <w:rFonts w:ascii="Arial" w:hAnsi="Arial" w:cs="Arial"/>
                <w:bCs/>
                <w:color w:val="000000"/>
              </w:rPr>
              <w:t>Wegdrückbare Rötung eines lokalen Bereichs, gewöhnlich über einem knöchernen Vorsprung.</w:t>
            </w:r>
          </w:p>
          <w:p w14:paraId="584634FA" w14:textId="77777777" w:rsidR="002C7A46" w:rsidRPr="002C7A46" w:rsidRDefault="002C7A46" w:rsidP="002C7A46">
            <w:pPr>
              <w:rPr>
                <w:rFonts w:ascii="Arial" w:hAnsi="Arial" w:cs="Arial"/>
                <w:bCs/>
                <w:color w:val="000000"/>
              </w:rPr>
            </w:pPr>
            <w:r w:rsidRPr="002C7A46">
              <w:rPr>
                <w:rFonts w:ascii="Arial" w:hAnsi="Arial" w:cs="Arial"/>
                <w:bCs/>
                <w:color w:val="000000"/>
              </w:rPr>
              <w:t>Keine Hautläsionen.</w:t>
            </w:r>
          </w:p>
        </w:tc>
        <w:tc>
          <w:tcPr>
            <w:tcW w:w="3457" w:type="dxa"/>
            <w:shd w:val="clear" w:color="auto" w:fill="auto"/>
          </w:tcPr>
          <w:p w14:paraId="186B42F9" w14:textId="77777777" w:rsidR="002C7A46" w:rsidRPr="002C7A46" w:rsidRDefault="002C7A46" w:rsidP="002C7A46">
            <w:pPr>
              <w:rPr>
                <w:rFonts w:ascii="Arial" w:hAnsi="Arial" w:cs="Arial"/>
                <w:bCs/>
                <w:color w:val="000000"/>
              </w:rPr>
            </w:pPr>
            <w:r w:rsidRPr="002C7A46">
              <w:rPr>
                <w:rFonts w:ascii="Arial" w:hAnsi="Arial" w:cs="Arial"/>
                <w:bCs/>
                <w:color w:val="000000"/>
              </w:rPr>
              <w:t>Ödeme, Verhärtung, lokale Überwärmung</w:t>
            </w:r>
          </w:p>
        </w:tc>
      </w:tr>
      <w:tr w:rsidR="002C7A46" w:rsidRPr="002C7A46" w14:paraId="055CDA41" w14:textId="77777777" w:rsidTr="002C7A46">
        <w:trPr>
          <w:jc w:val="center"/>
        </w:trPr>
        <w:tc>
          <w:tcPr>
            <w:tcW w:w="2660" w:type="dxa"/>
            <w:shd w:val="clear" w:color="auto" w:fill="auto"/>
          </w:tcPr>
          <w:p w14:paraId="0581ABB0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>II: Teilverlust der</w:t>
            </w:r>
          </w:p>
          <w:p w14:paraId="5AA421A1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>Haut</w:t>
            </w:r>
          </w:p>
        </w:tc>
        <w:tc>
          <w:tcPr>
            <w:tcW w:w="3630" w:type="dxa"/>
          </w:tcPr>
          <w:p w14:paraId="65AAFB26" w14:textId="77777777" w:rsidR="002C7A46" w:rsidRPr="002C7A46" w:rsidRDefault="002C7A46" w:rsidP="002C7A46">
            <w:pPr>
              <w:rPr>
                <w:rFonts w:ascii="Arial" w:hAnsi="Arial" w:cs="Arial"/>
                <w:bCs/>
                <w:color w:val="000000"/>
              </w:rPr>
            </w:pPr>
            <w:r w:rsidRPr="002C7A46">
              <w:rPr>
                <w:rFonts w:ascii="Arial" w:hAnsi="Arial" w:cs="Arial"/>
                <w:bCs/>
                <w:color w:val="000000"/>
              </w:rPr>
              <w:t xml:space="preserve">Oberflächliche Hautläsionen unterschiedlicher Größe von Oberhaut und/oder Lederhaut. </w:t>
            </w:r>
          </w:p>
        </w:tc>
        <w:tc>
          <w:tcPr>
            <w:tcW w:w="3457" w:type="dxa"/>
            <w:shd w:val="clear" w:color="auto" w:fill="auto"/>
          </w:tcPr>
          <w:p w14:paraId="6B71BC97" w14:textId="77777777" w:rsidR="002C7A46" w:rsidRPr="002C7A46" w:rsidRDefault="002C7A46" w:rsidP="002C7A46">
            <w:pPr>
              <w:rPr>
                <w:rFonts w:ascii="Arial" w:hAnsi="Arial" w:cs="Arial"/>
                <w:bCs/>
                <w:color w:val="000000"/>
              </w:rPr>
            </w:pPr>
            <w:r w:rsidRPr="002C7A46">
              <w:rPr>
                <w:rFonts w:ascii="Arial" w:hAnsi="Arial" w:cs="Arial"/>
                <w:bCs/>
                <w:color w:val="000000"/>
              </w:rPr>
              <w:t>Das Ulkus ist oberflächlich und stellt sich als Abschürfung oder Blase dar.</w:t>
            </w:r>
          </w:p>
        </w:tc>
      </w:tr>
      <w:tr w:rsidR="002C7A46" w:rsidRPr="002C7A46" w14:paraId="21F4F805" w14:textId="77777777" w:rsidTr="002C7A46">
        <w:trPr>
          <w:jc w:val="center"/>
        </w:trPr>
        <w:tc>
          <w:tcPr>
            <w:tcW w:w="2660" w:type="dxa"/>
            <w:shd w:val="clear" w:color="auto" w:fill="auto"/>
          </w:tcPr>
          <w:p w14:paraId="562DAA95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 xml:space="preserve">III: Vollständiger </w:t>
            </w:r>
          </w:p>
          <w:p w14:paraId="30F5EE19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>Verlust der Haut</w:t>
            </w:r>
          </w:p>
        </w:tc>
        <w:tc>
          <w:tcPr>
            <w:tcW w:w="3630" w:type="dxa"/>
          </w:tcPr>
          <w:p w14:paraId="65BBF1FF" w14:textId="77777777" w:rsidR="002C7A46" w:rsidRPr="002C7A46" w:rsidRDefault="002C7A46" w:rsidP="002C7A46">
            <w:pPr>
              <w:rPr>
                <w:rFonts w:ascii="Arial" w:hAnsi="Arial" w:cs="Arial"/>
                <w:bCs/>
                <w:color w:val="000000"/>
              </w:rPr>
            </w:pPr>
            <w:r w:rsidRPr="002C7A46">
              <w:rPr>
                <w:rFonts w:ascii="Arial" w:hAnsi="Arial" w:cs="Arial"/>
                <w:bCs/>
                <w:color w:val="000000"/>
              </w:rPr>
              <w:t xml:space="preserve">Tiefere subkutane Schichten sind betroffen (vollständiger Gewebeverlust). </w:t>
            </w:r>
          </w:p>
          <w:p w14:paraId="763FB753" w14:textId="77777777" w:rsidR="002C7A46" w:rsidRPr="002C7A46" w:rsidRDefault="002C7A46" w:rsidP="002C7A46">
            <w:pPr>
              <w:rPr>
                <w:rFonts w:ascii="Arial" w:hAnsi="Arial" w:cs="Arial"/>
                <w:bCs/>
                <w:color w:val="000000"/>
              </w:rPr>
            </w:pPr>
            <w:r w:rsidRPr="002C7A46">
              <w:rPr>
                <w:rFonts w:ascii="Arial" w:hAnsi="Arial" w:cs="Arial"/>
                <w:bCs/>
                <w:color w:val="000000"/>
              </w:rPr>
              <w:t>Es treten erste Nekrosen in der und um die Wunde herum auf.</w:t>
            </w:r>
          </w:p>
        </w:tc>
        <w:tc>
          <w:tcPr>
            <w:tcW w:w="3457" w:type="dxa"/>
            <w:shd w:val="clear" w:color="auto" w:fill="auto"/>
          </w:tcPr>
          <w:p w14:paraId="0568D661" w14:textId="77777777" w:rsidR="002C7A46" w:rsidRPr="002C7A46" w:rsidRDefault="002C7A46" w:rsidP="002C7A46">
            <w:pPr>
              <w:rPr>
                <w:rFonts w:ascii="Arial" w:hAnsi="Arial" w:cs="Arial"/>
                <w:bCs/>
                <w:color w:val="000000"/>
              </w:rPr>
            </w:pPr>
            <w:r w:rsidRPr="002C7A46">
              <w:rPr>
                <w:rFonts w:ascii="Arial" w:hAnsi="Arial" w:cs="Arial"/>
                <w:bCs/>
                <w:color w:val="000000"/>
              </w:rPr>
              <w:t>Die Schädigung wird von der Unterhautfaszie begrenzt.</w:t>
            </w:r>
          </w:p>
        </w:tc>
      </w:tr>
      <w:tr w:rsidR="002C7A46" w:rsidRPr="002C7A46" w14:paraId="66470BCA" w14:textId="77777777" w:rsidTr="002C7A46">
        <w:trPr>
          <w:jc w:val="center"/>
        </w:trPr>
        <w:tc>
          <w:tcPr>
            <w:tcW w:w="2660" w:type="dxa"/>
            <w:shd w:val="clear" w:color="auto" w:fill="auto"/>
          </w:tcPr>
          <w:p w14:paraId="4DDB94CF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 xml:space="preserve">IV: Vollständiger </w:t>
            </w:r>
          </w:p>
          <w:p w14:paraId="7BE89D7D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>Gewebeverlust</w:t>
            </w:r>
          </w:p>
        </w:tc>
        <w:tc>
          <w:tcPr>
            <w:tcW w:w="3630" w:type="dxa"/>
          </w:tcPr>
          <w:p w14:paraId="25EED1E0" w14:textId="77777777" w:rsidR="002C7A46" w:rsidRPr="002C7A46" w:rsidRDefault="002C7A46" w:rsidP="002C7A46">
            <w:pPr>
              <w:rPr>
                <w:rFonts w:ascii="Arial" w:hAnsi="Arial" w:cs="Arial"/>
                <w:bCs/>
                <w:color w:val="000000"/>
              </w:rPr>
            </w:pPr>
            <w:r w:rsidRPr="002C7A46">
              <w:rPr>
                <w:rFonts w:ascii="Arial" w:hAnsi="Arial" w:cs="Arial"/>
                <w:bCs/>
                <w:color w:val="000000"/>
              </w:rPr>
              <w:t>Tiefer Haut- und Gewebedefekt mit tiefenwirksamer Nekrose und Zerstörung von Muskeln und Knochen.</w:t>
            </w:r>
          </w:p>
        </w:tc>
        <w:tc>
          <w:tcPr>
            <w:tcW w:w="3457" w:type="dxa"/>
            <w:shd w:val="clear" w:color="auto" w:fill="auto"/>
          </w:tcPr>
          <w:p w14:paraId="55F655D1" w14:textId="77777777" w:rsidR="002C7A46" w:rsidRPr="002C7A46" w:rsidRDefault="002C7A46" w:rsidP="002C7A46">
            <w:pPr>
              <w:rPr>
                <w:rFonts w:ascii="Arial" w:hAnsi="Arial" w:cs="Arial"/>
                <w:bCs/>
                <w:color w:val="000000"/>
              </w:rPr>
            </w:pPr>
            <w:r w:rsidRPr="002C7A46">
              <w:rPr>
                <w:rFonts w:ascii="Arial" w:hAnsi="Arial" w:cs="Arial"/>
                <w:bCs/>
                <w:color w:val="000000"/>
              </w:rPr>
              <w:t>Häufig treten auch tiefe Gewebetaschen sowie bei Knochenbefall Osteomyelitis auf.</w:t>
            </w:r>
          </w:p>
        </w:tc>
      </w:tr>
      <w:tr w:rsidR="002C7A46" w:rsidRPr="002C7A46" w14:paraId="74E8C560" w14:textId="77777777" w:rsidTr="002C7A46">
        <w:trPr>
          <w:jc w:val="center"/>
        </w:trPr>
        <w:tc>
          <w:tcPr>
            <w:tcW w:w="2660" w:type="dxa"/>
            <w:shd w:val="clear" w:color="auto" w:fill="auto"/>
          </w:tcPr>
          <w:p w14:paraId="4E9C2E8E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 xml:space="preserve">Keinem Stadium </w:t>
            </w:r>
          </w:p>
          <w:p w14:paraId="58B2E62F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 xml:space="preserve">zuzuordnen: Tiefe </w:t>
            </w:r>
          </w:p>
          <w:p w14:paraId="623588CA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>unbekannt</w:t>
            </w:r>
          </w:p>
        </w:tc>
        <w:tc>
          <w:tcPr>
            <w:tcW w:w="3630" w:type="dxa"/>
          </w:tcPr>
          <w:p w14:paraId="3ACDA6EB" w14:textId="77777777" w:rsidR="002C7A46" w:rsidRPr="002C7A46" w:rsidRDefault="002C7A46" w:rsidP="002C7A46">
            <w:pPr>
              <w:rPr>
                <w:rFonts w:ascii="Arial" w:hAnsi="Arial" w:cs="Arial"/>
                <w:bCs/>
                <w:color w:val="000000"/>
              </w:rPr>
            </w:pPr>
            <w:r w:rsidRPr="002C7A46">
              <w:rPr>
                <w:rFonts w:ascii="Arial" w:hAnsi="Arial" w:cs="Arial"/>
                <w:bCs/>
                <w:color w:val="000000"/>
              </w:rPr>
              <w:t>Vollständiger Gewebeverlust mit Schorf oder Belag.</w:t>
            </w:r>
          </w:p>
        </w:tc>
        <w:tc>
          <w:tcPr>
            <w:tcW w:w="3457" w:type="dxa"/>
            <w:shd w:val="clear" w:color="auto" w:fill="auto"/>
          </w:tcPr>
          <w:p w14:paraId="7E8950AC" w14:textId="77777777" w:rsidR="002C7A46" w:rsidRPr="002C7A46" w:rsidRDefault="002C7A46" w:rsidP="002C7A46">
            <w:pPr>
              <w:rPr>
                <w:rFonts w:ascii="Arial" w:hAnsi="Arial" w:cs="Arial"/>
                <w:bCs/>
                <w:color w:val="000000"/>
              </w:rPr>
            </w:pPr>
            <w:r w:rsidRPr="002C7A46">
              <w:rPr>
                <w:rFonts w:ascii="Arial" w:hAnsi="Arial" w:cs="Arial"/>
                <w:bCs/>
                <w:color w:val="000000"/>
              </w:rPr>
              <w:t>Bestimmung der Kategorie erst nach Entfernung möglich.</w:t>
            </w:r>
          </w:p>
        </w:tc>
      </w:tr>
      <w:tr w:rsidR="002C7A46" w:rsidRPr="002C7A46" w14:paraId="608B5383" w14:textId="77777777" w:rsidTr="002C7A46">
        <w:trPr>
          <w:jc w:val="center"/>
        </w:trPr>
        <w:tc>
          <w:tcPr>
            <w:tcW w:w="2660" w:type="dxa"/>
            <w:shd w:val="clear" w:color="auto" w:fill="auto"/>
          </w:tcPr>
          <w:p w14:paraId="20E8ED7C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 xml:space="preserve">Vermutete tiefe </w:t>
            </w:r>
          </w:p>
          <w:p w14:paraId="22EB8065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 xml:space="preserve">Gewebeschädigung: </w:t>
            </w:r>
          </w:p>
          <w:p w14:paraId="3FA96E12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  <w:r w:rsidRPr="002C7A46">
              <w:rPr>
                <w:rFonts w:ascii="Arial" w:hAnsi="Arial" w:cs="Arial"/>
                <w:b/>
                <w:color w:val="000000"/>
              </w:rPr>
              <w:t>Tiefe unbekannt</w:t>
            </w:r>
          </w:p>
          <w:p w14:paraId="61F07809" w14:textId="77777777" w:rsidR="002C7A46" w:rsidRPr="002C7A46" w:rsidRDefault="002C7A46" w:rsidP="002C7A46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30" w:type="dxa"/>
          </w:tcPr>
          <w:p w14:paraId="6139E6C1" w14:textId="77777777" w:rsidR="002C7A46" w:rsidRPr="002C7A46" w:rsidRDefault="002C7A46" w:rsidP="002C7A46">
            <w:pPr>
              <w:rPr>
                <w:rFonts w:ascii="Arial" w:hAnsi="Arial" w:cs="Arial"/>
                <w:bCs/>
                <w:color w:val="000000"/>
              </w:rPr>
            </w:pPr>
            <w:r w:rsidRPr="002C7A46">
              <w:rPr>
                <w:rFonts w:ascii="Arial" w:hAnsi="Arial" w:cs="Arial"/>
                <w:bCs/>
                <w:color w:val="000000"/>
              </w:rPr>
              <w:t xml:space="preserve">Umschriebener Bereich intakter Haut mit violetter oder bräunlicher Verfärbung infolge einer Verletzung des Weichgewebes. </w:t>
            </w:r>
          </w:p>
        </w:tc>
        <w:tc>
          <w:tcPr>
            <w:tcW w:w="3457" w:type="dxa"/>
            <w:shd w:val="clear" w:color="auto" w:fill="auto"/>
          </w:tcPr>
          <w:p w14:paraId="05567320" w14:textId="77777777" w:rsidR="002C7A46" w:rsidRPr="002C7A46" w:rsidRDefault="002C7A46" w:rsidP="002C7A46">
            <w:pPr>
              <w:rPr>
                <w:rFonts w:ascii="Arial" w:hAnsi="Arial" w:cs="Arial"/>
                <w:bCs/>
                <w:color w:val="000000"/>
              </w:rPr>
            </w:pPr>
            <w:r w:rsidRPr="002C7A46">
              <w:rPr>
                <w:rFonts w:ascii="Arial" w:hAnsi="Arial" w:cs="Arial"/>
                <w:bCs/>
                <w:color w:val="000000"/>
              </w:rPr>
              <w:t>Blasen- und Schorfbildung möglich. Teilweise rasante Progression.</w:t>
            </w:r>
          </w:p>
        </w:tc>
      </w:tr>
    </w:tbl>
    <w:p w14:paraId="200FB6DD" w14:textId="77777777" w:rsidR="002C7A46" w:rsidRPr="002C7A46" w:rsidRDefault="002C7A46" w:rsidP="002345B4">
      <w:pPr>
        <w:rPr>
          <w:rFonts w:ascii="Arial" w:hAnsi="Arial" w:cs="Arial"/>
          <w:bCs/>
          <w:color w:val="000000"/>
        </w:rPr>
      </w:pPr>
    </w:p>
    <w:p w14:paraId="6A42C993" w14:textId="77777777" w:rsidR="00C819CE" w:rsidRPr="002C7A46" w:rsidRDefault="00C819CE" w:rsidP="002345B4">
      <w:pPr>
        <w:rPr>
          <w:rFonts w:ascii="Arial" w:hAnsi="Arial" w:cs="Arial"/>
          <w:bCs/>
          <w:color w:val="000000"/>
        </w:rPr>
      </w:pPr>
    </w:p>
    <w:p w14:paraId="5BB9DF21" w14:textId="77777777" w:rsidR="00C819CE" w:rsidRPr="002C7A46" w:rsidRDefault="00C819CE" w:rsidP="002345B4">
      <w:pPr>
        <w:rPr>
          <w:rFonts w:ascii="Arial" w:hAnsi="Arial" w:cs="Arial"/>
          <w:bCs/>
          <w:color w:val="000000"/>
        </w:rPr>
      </w:pPr>
    </w:p>
    <w:p w14:paraId="50AF4C33" w14:textId="77777777" w:rsidR="00070714" w:rsidRPr="00070714" w:rsidRDefault="00070714" w:rsidP="00070714">
      <w:pPr>
        <w:rPr>
          <w:rFonts w:ascii="Arial" w:hAnsi="Arial" w:cs="Arial"/>
        </w:rPr>
      </w:pPr>
    </w:p>
    <w:sectPr w:rsidR="00070714" w:rsidRPr="00070714" w:rsidSect="002C7A46">
      <w:footerReference w:type="default" r:id="rId8"/>
      <w:pgSz w:w="11906" w:h="16838"/>
      <w:pgMar w:top="1276" w:right="1417" w:bottom="1276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302C" w14:textId="30175593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171937">
      <w:rPr>
        <w:rFonts w:ascii="Arial" w:hAnsi="Arial" w:cs="Arial"/>
        <w:lang w:val="de-DE"/>
      </w:rPr>
      <w:t>4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7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772A8"/>
    <w:multiLevelType w:val="hybridMultilevel"/>
    <w:tmpl w:val="BCBAA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64971"/>
    <w:multiLevelType w:val="hybridMultilevel"/>
    <w:tmpl w:val="B5FACC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308948">
    <w:abstractNumId w:val="3"/>
  </w:num>
  <w:num w:numId="2" w16cid:durableId="2072922478">
    <w:abstractNumId w:val="0"/>
  </w:num>
  <w:num w:numId="3" w16cid:durableId="1169558910">
    <w:abstractNumId w:val="2"/>
  </w:num>
  <w:num w:numId="4" w16cid:durableId="68501427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0714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71937"/>
    <w:rsid w:val="0018198A"/>
    <w:rsid w:val="001B36CF"/>
    <w:rsid w:val="001C2329"/>
    <w:rsid w:val="001C31E4"/>
    <w:rsid w:val="001C6AA2"/>
    <w:rsid w:val="001D4511"/>
    <w:rsid w:val="002163E7"/>
    <w:rsid w:val="002345B4"/>
    <w:rsid w:val="00245C51"/>
    <w:rsid w:val="0026374D"/>
    <w:rsid w:val="00266A5E"/>
    <w:rsid w:val="0028271D"/>
    <w:rsid w:val="002A2E77"/>
    <w:rsid w:val="002A4F49"/>
    <w:rsid w:val="002C7A46"/>
    <w:rsid w:val="002C7CDF"/>
    <w:rsid w:val="002D4485"/>
    <w:rsid w:val="002E1FD2"/>
    <w:rsid w:val="002E4E5A"/>
    <w:rsid w:val="002F587D"/>
    <w:rsid w:val="00326BFF"/>
    <w:rsid w:val="00347025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131A8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819CE"/>
    <w:rsid w:val="00CB5A64"/>
    <w:rsid w:val="00CD18DD"/>
    <w:rsid w:val="00D00DA5"/>
    <w:rsid w:val="00D013A9"/>
    <w:rsid w:val="00D01DEC"/>
    <w:rsid w:val="00D01F3D"/>
    <w:rsid w:val="00D02068"/>
    <w:rsid w:val="00D15C4E"/>
    <w:rsid w:val="00D228D6"/>
    <w:rsid w:val="00D26B7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1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171937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171937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171937"/>
    <w:rPr>
      <w:rFonts w:eastAsia="Calibri"/>
      <w:sz w:val="18"/>
      <w:szCs w:val="18"/>
      <w:lang w:eastAsia="en-US"/>
    </w:rPr>
  </w:style>
  <w:style w:type="paragraph" w:customStyle="1" w:styleId="Subheadline">
    <w:name w:val="Subheadline"/>
    <w:basedOn w:val="Standard"/>
    <w:qFormat/>
    <w:rsid w:val="0034702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Auflistung">
    <w:name w:val="#Auflistung"/>
    <w:basedOn w:val="Standard"/>
    <w:qFormat/>
    <w:rsid w:val="002345B4"/>
    <w:pPr>
      <w:numPr>
        <w:numId w:val="2"/>
      </w:numPr>
      <w:tabs>
        <w:tab w:val="num" w:pos="540"/>
      </w:tabs>
      <w:spacing w:after="240"/>
      <w:ind w:left="540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Flietext">
    <w:name w:val="#Fließtext"/>
    <w:basedOn w:val="Standard"/>
    <w:qFormat/>
    <w:rsid w:val="002345B4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2345B4"/>
    <w:rPr>
      <w:rFonts w:ascii="Bradley Hand" w:hAnsi="Bradley Hand"/>
      <w:color w:val="0091BA"/>
    </w:rPr>
  </w:style>
  <w:style w:type="paragraph" w:customStyle="1" w:styleId="Subhead">
    <w:name w:val="Subhead"/>
    <w:basedOn w:val="Standard"/>
    <w:qFormat/>
    <w:rsid w:val="00D01DEC"/>
    <w:pPr>
      <w:spacing w:before="240"/>
      <w:jc w:val="both"/>
    </w:pPr>
    <w:rPr>
      <w:rFonts w:ascii="Calibri" w:eastAsia="Calibri" w:hAnsi="Calibri"/>
      <w:b/>
      <w:bCs/>
      <w:color w:val="DA4F46"/>
      <w:sz w:val="19"/>
      <w:szCs w:val="19"/>
      <w:lang w:eastAsia="en-US"/>
    </w:rPr>
  </w:style>
  <w:style w:type="paragraph" w:customStyle="1" w:styleId="TableHead">
    <w:name w:val="Table Head"/>
    <w:basedOn w:val="Standard"/>
    <w:qFormat/>
    <w:rsid w:val="00D02068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healineBlau">
    <w:name w:val="Tabelle_Subhealine_Blau"/>
    <w:basedOn w:val="Standard"/>
    <w:qFormat/>
    <w:rsid w:val="00D02068"/>
    <w:pPr>
      <w:spacing w:after="60"/>
      <w:jc w:val="both"/>
    </w:pPr>
    <w:rPr>
      <w:rFonts w:ascii="Calibri" w:eastAsia="Calibri" w:hAnsi="Calibri"/>
      <w:b/>
      <w:bCs/>
      <w:color w:val="0091BA"/>
      <w:sz w:val="18"/>
      <w:szCs w:val="18"/>
      <w:lang w:val="en-US" w:eastAsia="en-US"/>
    </w:rPr>
  </w:style>
  <w:style w:type="paragraph" w:customStyle="1" w:styleId="TableSubline">
    <w:name w:val="Table Subline"/>
    <w:basedOn w:val="Standard"/>
    <w:qFormat/>
    <w:rsid w:val="002C7A46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CCEA0-8271-4F65-AA76-FDFDC989D1E0}"/>
</file>

<file path=customXml/itemProps3.xml><?xml version="1.0" encoding="utf-8"?>
<ds:datastoreItem xmlns:ds="http://schemas.openxmlformats.org/officeDocument/2006/customXml" ds:itemID="{2A6E12B7-1E63-4E0F-9092-C67D927FB6BA}"/>
</file>

<file path=customXml/itemProps4.xml><?xml version="1.0" encoding="utf-8"?>
<ds:datastoreItem xmlns:ds="http://schemas.openxmlformats.org/officeDocument/2006/customXml" ds:itemID="{3C91559F-DB89-4312-BB8D-7092AE81F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2024-04-26T11:29:00Z</dcterms:created>
  <dcterms:modified xsi:type="dcterms:W3CDTF">2024-04-26T11:29:00Z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