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3D6387F9" w:rsidR="00C53089" w:rsidRPr="00E475C4" w:rsidRDefault="00294891" w:rsidP="002A2E77">
            <w:pPr>
              <w:pStyle w:val="Kopfzeile"/>
              <w:jc w:val="center"/>
              <w:rPr>
                <w:rFonts w:ascii="Arial" w:hAnsi="Arial" w:cs="Arial"/>
                <w:b/>
                <w:color w:val="A39863"/>
                <w:sz w:val="28"/>
                <w:lang w:val="de-DE"/>
              </w:rPr>
            </w:pPr>
            <w:r w:rsidRPr="00294891">
              <w:rPr>
                <w:rFonts w:ascii="Arial" w:hAnsi="Arial" w:cs="Arial"/>
                <w:b/>
                <w:color w:val="A39863"/>
                <w:sz w:val="32"/>
              </w:rPr>
              <w:t>7-Schritt-Notfallplan „Staatsanwalt – Durchsuchung“</w:t>
            </w:r>
          </w:p>
        </w:tc>
      </w:tr>
      <w:tr w:rsidR="00C53089" w14:paraId="06073019" w14:textId="77777777" w:rsidTr="00E475C4">
        <w:trPr>
          <w:jc w:val="center"/>
        </w:trPr>
        <w:tc>
          <w:tcPr>
            <w:tcW w:w="8575" w:type="dxa"/>
            <w:shd w:val="clear" w:color="auto" w:fill="auto"/>
          </w:tcPr>
          <w:p w14:paraId="06073018" w14:textId="468A7832" w:rsidR="00C53089" w:rsidRPr="002A2E77" w:rsidRDefault="00294891" w:rsidP="002A2E77">
            <w:pPr>
              <w:pStyle w:val="Kopfzeile"/>
              <w:jc w:val="center"/>
              <w:rPr>
                <w:rFonts w:ascii="Arial" w:hAnsi="Arial" w:cs="Arial"/>
                <w:b/>
                <w:sz w:val="28"/>
                <w:lang w:val="de-DE"/>
              </w:rPr>
            </w:pPr>
            <w:r>
              <w:rPr>
                <w:rFonts w:ascii="Arial" w:hAnsi="Arial" w:cs="Arial"/>
                <w:b/>
                <w:sz w:val="28"/>
                <w:lang w:val="de-DE"/>
              </w:rPr>
              <w:t>Übersicht</w:t>
            </w:r>
          </w:p>
        </w:tc>
      </w:tr>
    </w:tbl>
    <w:p w14:paraId="1E1EF400" w14:textId="170E1117" w:rsidR="00190EC3" w:rsidRDefault="00F80234" w:rsidP="00294891">
      <w:pPr>
        <w:autoSpaceDE w:val="0"/>
        <w:autoSpaceDN w:val="0"/>
        <w:adjustRightInd w:val="0"/>
        <w:jc w:val="center"/>
        <w:rPr>
          <w:rFonts w:ascii="Arial" w:hAnsi="Arial" w:cs="Arial"/>
          <w:color w:val="000000"/>
        </w:rPr>
      </w:pPr>
      <w:r w:rsidRPr="00F80234">
        <w:rPr>
          <w:rFonts w:ascii="Arial" w:hAnsi="Arial" w:cs="Arial"/>
          <w:b/>
          <w:color w:val="017A99"/>
          <w:sz w:val="28"/>
          <w:szCs w:val="28"/>
        </w:rPr>
        <w:t xml:space="preserve"> </w:t>
      </w:r>
    </w:p>
    <w:tbl>
      <w:tblPr>
        <w:tblStyle w:val="Tabellenraster"/>
        <w:tblW w:w="10731" w:type="dxa"/>
        <w:jc w:val="center"/>
        <w:tblCellMar>
          <w:top w:w="85" w:type="dxa"/>
        </w:tblCellMar>
        <w:tblLook w:val="04A0" w:firstRow="1" w:lastRow="0" w:firstColumn="1" w:lastColumn="0" w:noHBand="0" w:noVBand="1"/>
      </w:tblPr>
      <w:tblGrid>
        <w:gridCol w:w="10731"/>
      </w:tblGrid>
      <w:tr w:rsidR="00294891" w:rsidRPr="00294891" w14:paraId="593D8AD6" w14:textId="77777777" w:rsidTr="00294891">
        <w:trPr>
          <w:trHeight w:val="155"/>
          <w:jc w:val="center"/>
        </w:trPr>
        <w:tc>
          <w:tcPr>
            <w:tcW w:w="10731" w:type="dxa"/>
            <w:shd w:val="clear" w:color="auto" w:fill="0098BB"/>
          </w:tcPr>
          <w:p w14:paraId="4BDF86A7" w14:textId="4D04036A" w:rsidR="00294891" w:rsidRPr="00294891" w:rsidRDefault="00294891" w:rsidP="00226A6E">
            <w:pPr>
              <w:numPr>
                <w:ilvl w:val="0"/>
                <w:numId w:val="4"/>
              </w:numPr>
              <w:ind w:left="361"/>
              <w:rPr>
                <w:rFonts w:ascii="Arial" w:hAnsi="Arial" w:cs="Arial"/>
                <w:b/>
                <w:color w:val="000000"/>
                <w:sz w:val="22"/>
                <w:szCs w:val="22"/>
              </w:rPr>
            </w:pPr>
            <w:r w:rsidRPr="00294891">
              <w:rPr>
                <w:rFonts w:ascii="Arial" w:hAnsi="Arial" w:cs="Arial"/>
                <w:b/>
                <w:color w:val="000000"/>
                <w:sz w:val="22"/>
                <w:szCs w:val="22"/>
              </w:rPr>
              <w:t>Bleiben Sie ruhig und besonnen</w:t>
            </w:r>
          </w:p>
        </w:tc>
      </w:tr>
      <w:tr w:rsidR="00294891" w:rsidRPr="00294891" w14:paraId="642B11C4" w14:textId="77777777" w:rsidTr="00294891">
        <w:trPr>
          <w:trHeight w:val="155"/>
          <w:jc w:val="center"/>
        </w:trPr>
        <w:tc>
          <w:tcPr>
            <w:tcW w:w="10731" w:type="dxa"/>
            <w:shd w:val="clear" w:color="auto" w:fill="auto"/>
          </w:tcPr>
          <w:p w14:paraId="2FDA48E4" w14:textId="17C2AACF" w:rsidR="00294891" w:rsidRPr="00294891" w:rsidRDefault="00294891" w:rsidP="00294891">
            <w:pPr>
              <w:rPr>
                <w:rFonts w:ascii="Arial" w:hAnsi="Arial" w:cs="Arial"/>
                <w:bCs/>
                <w:color w:val="000000"/>
                <w:sz w:val="22"/>
                <w:szCs w:val="22"/>
              </w:rPr>
            </w:pPr>
            <w:r w:rsidRPr="00294891">
              <w:rPr>
                <w:rFonts w:ascii="Arial" w:hAnsi="Arial" w:cs="Arial"/>
                <w:color w:val="000000"/>
                <w:sz w:val="22"/>
                <w:szCs w:val="22"/>
              </w:rPr>
              <w:t>Natürlich sind Sie und Ihre Mitarbeiter in einer solchen Situation überrascht und verständlicherweise nervös, ja vielleicht sogar aufgebracht – verhalten Sie sich dennoch höflich und korrekt. In der Regel sind es Ihre Mitarbeiter, die den ersten Kontakt mit dem Staatsanwalt und dem zuständigen Ermittlungsbeamten haben, und der erste Eindruck zählt. Ihre Mitarbeiter informieren Sie umgehend. Es sollte keinesfalls der Eindruck entstehen, dass Sie etwas zu verbergen haben. Je schneller und zügiger die Prüfung vonstattengeht, desto weniger Aufsehen erregt der Besuch des Staatsanwalts.</w:t>
            </w:r>
          </w:p>
        </w:tc>
      </w:tr>
      <w:tr w:rsidR="00294891" w:rsidRPr="00294891" w14:paraId="77F2E2BC" w14:textId="77777777" w:rsidTr="00294891">
        <w:trPr>
          <w:trHeight w:val="155"/>
          <w:jc w:val="center"/>
        </w:trPr>
        <w:tc>
          <w:tcPr>
            <w:tcW w:w="10731" w:type="dxa"/>
            <w:shd w:val="clear" w:color="auto" w:fill="0098BB"/>
          </w:tcPr>
          <w:p w14:paraId="0F16C792" w14:textId="0C90D764"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Lassen Sie sich als Erstes den Durchsuchungsbeschluss vorlegen</w:t>
            </w:r>
          </w:p>
        </w:tc>
      </w:tr>
      <w:tr w:rsidR="00294891" w:rsidRPr="00294891" w14:paraId="0862531D" w14:textId="77777777" w:rsidTr="00294891">
        <w:trPr>
          <w:trHeight w:val="155"/>
          <w:jc w:val="center"/>
        </w:trPr>
        <w:tc>
          <w:tcPr>
            <w:tcW w:w="10731" w:type="dxa"/>
            <w:shd w:val="clear" w:color="auto" w:fill="auto"/>
          </w:tcPr>
          <w:p w14:paraId="51C4DD15" w14:textId="70227B26" w:rsidR="00294891" w:rsidRPr="00294891" w:rsidRDefault="00294891" w:rsidP="00294891">
            <w:pPr>
              <w:rPr>
                <w:rFonts w:ascii="Arial" w:hAnsi="Arial" w:cs="Arial"/>
                <w:color w:val="000000"/>
                <w:sz w:val="22"/>
                <w:szCs w:val="22"/>
              </w:rPr>
            </w:pPr>
            <w:r w:rsidRPr="00294891">
              <w:rPr>
                <w:rFonts w:ascii="Arial" w:hAnsi="Arial" w:cs="Arial"/>
                <w:color w:val="000000"/>
                <w:sz w:val="22"/>
                <w:szCs w:val="22"/>
              </w:rPr>
              <w:t>Bei aller Freundlichkeit sollten Sie das Erscheinen der Staatsanwaltschaft nicht einfach hinnehmen, ohne zu prüfen, ob alles seine Richtigkeit hat. Fragen Sie die Beamten deshalb immer als Erstes nach dem Durchsuchungsbeschluss. Das ist Ihr gutes Recht. Ein Duplikat davon müssen die Beamten Ihnen aushändigen.</w:t>
            </w:r>
          </w:p>
        </w:tc>
      </w:tr>
      <w:tr w:rsidR="00294891" w:rsidRPr="00294891" w14:paraId="4267E339" w14:textId="77777777" w:rsidTr="00294891">
        <w:trPr>
          <w:trHeight w:val="155"/>
          <w:jc w:val="center"/>
        </w:trPr>
        <w:tc>
          <w:tcPr>
            <w:tcW w:w="10731" w:type="dxa"/>
            <w:shd w:val="clear" w:color="auto" w:fill="0098BB"/>
          </w:tcPr>
          <w:p w14:paraId="7615EE67" w14:textId="5A316EE2"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Lehnen Sie eine freiwillige Durchsuchung generell ab</w:t>
            </w:r>
          </w:p>
        </w:tc>
      </w:tr>
      <w:tr w:rsidR="00294891" w:rsidRPr="00294891" w14:paraId="524328C0" w14:textId="77777777" w:rsidTr="00294891">
        <w:trPr>
          <w:trHeight w:val="155"/>
          <w:jc w:val="center"/>
        </w:trPr>
        <w:tc>
          <w:tcPr>
            <w:tcW w:w="10731" w:type="dxa"/>
            <w:shd w:val="clear" w:color="auto" w:fill="auto"/>
          </w:tcPr>
          <w:p w14:paraId="17D49ACB" w14:textId="211C364F" w:rsidR="00294891" w:rsidRPr="00294891" w:rsidRDefault="00294891" w:rsidP="00294891">
            <w:pPr>
              <w:rPr>
                <w:rFonts w:ascii="Arial" w:hAnsi="Arial" w:cs="Arial"/>
                <w:color w:val="000000"/>
                <w:sz w:val="22"/>
                <w:szCs w:val="22"/>
              </w:rPr>
            </w:pPr>
            <w:r w:rsidRPr="00294891">
              <w:rPr>
                <w:rFonts w:ascii="Arial" w:hAnsi="Arial" w:cs="Arial"/>
                <w:color w:val="000000"/>
                <w:sz w:val="22"/>
                <w:szCs w:val="22"/>
              </w:rPr>
              <w:t>Wenn die zuständigen Ermittlungsbeamten Sie dazu anhalten, einer freiwilligen Durchsuchung zuzustimmen – ohne zuvor den Rechtsanwalt kontaktiert zu haben –, sollten Sie das kategorisch ablehnen.</w:t>
            </w:r>
          </w:p>
        </w:tc>
      </w:tr>
      <w:tr w:rsidR="00294891" w:rsidRPr="00294891" w14:paraId="38EF7663" w14:textId="77777777" w:rsidTr="00294891">
        <w:trPr>
          <w:trHeight w:val="155"/>
          <w:jc w:val="center"/>
        </w:trPr>
        <w:tc>
          <w:tcPr>
            <w:tcW w:w="10731" w:type="dxa"/>
            <w:shd w:val="clear" w:color="auto" w:fill="0098BB"/>
          </w:tcPr>
          <w:p w14:paraId="008CE9BC" w14:textId="6859484A"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Reden ist Silber – Schweigen ist Gold: Niemals Angaben zum erhobenen Vorwurf machen!</w:t>
            </w:r>
          </w:p>
        </w:tc>
      </w:tr>
      <w:tr w:rsidR="00294891" w:rsidRPr="00294891" w14:paraId="4B98556C" w14:textId="77777777" w:rsidTr="00294891">
        <w:trPr>
          <w:trHeight w:val="155"/>
          <w:jc w:val="center"/>
        </w:trPr>
        <w:tc>
          <w:tcPr>
            <w:tcW w:w="10731" w:type="dxa"/>
            <w:shd w:val="clear" w:color="auto" w:fill="auto"/>
          </w:tcPr>
          <w:p w14:paraId="4A9830E3" w14:textId="3CB143A6" w:rsidR="00294891" w:rsidRPr="00294891" w:rsidRDefault="00294891" w:rsidP="00294891">
            <w:pPr>
              <w:rPr>
                <w:rFonts w:ascii="Arial" w:hAnsi="Arial" w:cs="Arial"/>
                <w:color w:val="000000"/>
                <w:sz w:val="22"/>
                <w:szCs w:val="22"/>
              </w:rPr>
            </w:pPr>
            <w:r w:rsidRPr="00294891">
              <w:rPr>
                <w:rFonts w:ascii="Arial" w:hAnsi="Arial" w:cs="Arial"/>
                <w:color w:val="000000"/>
                <w:sz w:val="22"/>
                <w:szCs w:val="22"/>
              </w:rPr>
              <w:t>Sie und Ihre Mitarbeiter haben das Recht zu schweigen. Dies ist in der Strafprozessordnung so festgelegt. Ich rate Ihnen dringend, von diesem Recht Gebrauch zu machen. Machen Sie gegenüber den Ermittlungsbehörden keinerlei Angaben, die über die persönlichen Daten hinausgehen. Denken Sie daran, dass jede Aussage zur Sache im Zweifel gegen Sie verwendet werden kann. Solange Sie keinen Rechtsbeistand haben, berufen Sie sich auf Ihr Aussageverweigerungsrecht.</w:t>
            </w:r>
          </w:p>
        </w:tc>
      </w:tr>
      <w:tr w:rsidR="00294891" w:rsidRPr="00294891" w14:paraId="4411E3A1" w14:textId="77777777" w:rsidTr="00294891">
        <w:trPr>
          <w:trHeight w:val="155"/>
          <w:jc w:val="center"/>
        </w:trPr>
        <w:tc>
          <w:tcPr>
            <w:tcW w:w="10731" w:type="dxa"/>
            <w:shd w:val="clear" w:color="auto" w:fill="0098BB"/>
          </w:tcPr>
          <w:p w14:paraId="63B8D009" w14:textId="407F2F64"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Nehmen Sie umgehend Kontakt zu einem Rechtsanwalt auf</w:t>
            </w:r>
          </w:p>
        </w:tc>
      </w:tr>
      <w:tr w:rsidR="00294891" w:rsidRPr="00294891" w14:paraId="6B7B6AEC" w14:textId="77777777" w:rsidTr="00294891">
        <w:trPr>
          <w:trHeight w:val="155"/>
          <w:jc w:val="center"/>
        </w:trPr>
        <w:tc>
          <w:tcPr>
            <w:tcW w:w="10731" w:type="dxa"/>
            <w:shd w:val="clear" w:color="auto" w:fill="auto"/>
          </w:tcPr>
          <w:p w14:paraId="6AB98DA2" w14:textId="7C446580" w:rsidR="00294891" w:rsidRPr="00294891" w:rsidRDefault="00294891" w:rsidP="00294891">
            <w:pPr>
              <w:rPr>
                <w:rFonts w:ascii="Arial" w:hAnsi="Arial" w:cs="Arial"/>
                <w:color w:val="000000"/>
                <w:sz w:val="22"/>
                <w:szCs w:val="22"/>
              </w:rPr>
            </w:pPr>
            <w:r w:rsidRPr="00294891">
              <w:rPr>
                <w:rFonts w:ascii="Arial" w:hAnsi="Arial" w:cs="Arial"/>
                <w:color w:val="000000"/>
                <w:sz w:val="22"/>
                <w:szCs w:val="22"/>
              </w:rPr>
              <w:t xml:space="preserve">Sie sollten unverzüglich Kontakt zu einem Rechtsanwalt aufnehmen. Ist dieser nicht gleich erreichbar, legen Sie den Ernst der Lage dar und bitten dringend um Rückruf. Der Anwalt kann Ihnen telefonisch bereits wichtige individuelle Empfehlungen geben. In vielen Fällen entschärft auch ein direktes Telefonat zwischen Rechtsanwalt und Staatsanwalt die Situation. Klären Sie mit Ihren Mitarbeitern ab, wie sie sich verhalten sollen, wenn Sie nicht da sind oder wenn Sie nicht ans Telefon gehen können (z. </w:t>
            </w:r>
            <w:proofErr w:type="gramStart"/>
            <w:r w:rsidRPr="00294891">
              <w:rPr>
                <w:rFonts w:ascii="Arial" w:hAnsi="Arial" w:cs="Arial"/>
                <w:color w:val="000000"/>
                <w:sz w:val="22"/>
                <w:szCs w:val="22"/>
              </w:rPr>
              <w:t>B.</w:t>
            </w:r>
            <w:proofErr w:type="gramEnd"/>
            <w:r w:rsidRPr="00294891">
              <w:rPr>
                <w:rFonts w:ascii="Arial" w:hAnsi="Arial" w:cs="Arial"/>
                <w:color w:val="000000"/>
                <w:sz w:val="22"/>
                <w:szCs w:val="22"/>
              </w:rPr>
              <w:t xml:space="preserve"> weil Sie im OP stehen).</w:t>
            </w:r>
          </w:p>
        </w:tc>
      </w:tr>
      <w:tr w:rsidR="00294891" w:rsidRPr="00294891" w14:paraId="0C5BF284" w14:textId="77777777" w:rsidTr="00294891">
        <w:trPr>
          <w:trHeight w:val="155"/>
          <w:jc w:val="center"/>
        </w:trPr>
        <w:tc>
          <w:tcPr>
            <w:tcW w:w="10731" w:type="dxa"/>
            <w:shd w:val="clear" w:color="auto" w:fill="0098BB"/>
          </w:tcPr>
          <w:p w14:paraId="36058213" w14:textId="36CAA3C8"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 xml:space="preserve">Wenn der Staatsanwalt ohne Durchsuchungsbeschluss Gefahr in Verzug geltend </w:t>
            </w:r>
            <w:proofErr w:type="gramStart"/>
            <w:r w:rsidRPr="00294891">
              <w:rPr>
                <w:rFonts w:ascii="Arial" w:hAnsi="Arial" w:cs="Arial"/>
                <w:b/>
                <w:bCs/>
                <w:color w:val="000000"/>
                <w:sz w:val="22"/>
                <w:szCs w:val="22"/>
              </w:rPr>
              <w:t>macht</w:t>
            </w:r>
            <w:proofErr w:type="gramEnd"/>
          </w:p>
        </w:tc>
      </w:tr>
      <w:tr w:rsidR="00294891" w:rsidRPr="00294891" w14:paraId="6E8E9D0D" w14:textId="77777777" w:rsidTr="00294891">
        <w:trPr>
          <w:trHeight w:val="155"/>
          <w:jc w:val="center"/>
        </w:trPr>
        <w:tc>
          <w:tcPr>
            <w:tcW w:w="10731" w:type="dxa"/>
            <w:shd w:val="clear" w:color="auto" w:fill="auto"/>
          </w:tcPr>
          <w:p w14:paraId="4A19AEAC" w14:textId="77777777" w:rsidR="00294891" w:rsidRPr="00294891" w:rsidRDefault="00294891" w:rsidP="00294891">
            <w:pPr>
              <w:rPr>
                <w:rFonts w:ascii="Arial" w:hAnsi="Arial" w:cs="Arial"/>
                <w:color w:val="000000"/>
                <w:sz w:val="22"/>
                <w:szCs w:val="22"/>
              </w:rPr>
            </w:pPr>
            <w:r w:rsidRPr="00294891">
              <w:rPr>
                <w:rFonts w:ascii="Arial" w:hAnsi="Arial" w:cs="Arial"/>
                <w:b/>
                <w:bCs/>
                <w:color w:val="000000"/>
                <w:sz w:val="22"/>
                <w:szCs w:val="22"/>
              </w:rPr>
              <w:t>Das wäre der Super-GAU:</w:t>
            </w:r>
            <w:r w:rsidRPr="00294891">
              <w:rPr>
                <w:rFonts w:ascii="Arial" w:hAnsi="Arial" w:cs="Arial"/>
                <w:color w:val="000000"/>
                <w:sz w:val="22"/>
                <w:szCs w:val="22"/>
              </w:rPr>
              <w:t xml:space="preserve"> Den Rechtsanwalt können Sie nicht erreichen. Der Staatsanwalt hat keinen Durchsuchungsbeschluss, beruft sich aber auf „Gefahr in Verzug“. In dieser Situation dokumentieren Sie jeden Schritt und sorgen dafür, dass ein Unbeteiligter (z. B. Patienten, Nachbarn, Lieferanten etc.) alles – </w:t>
            </w:r>
            <w:proofErr w:type="gramStart"/>
            <w:r w:rsidRPr="00294891">
              <w:rPr>
                <w:rFonts w:ascii="Arial" w:hAnsi="Arial" w:cs="Arial"/>
                <w:color w:val="000000"/>
                <w:sz w:val="22"/>
                <w:szCs w:val="22"/>
              </w:rPr>
              <w:t>soweit</w:t>
            </w:r>
            <w:proofErr w:type="gramEnd"/>
            <w:r w:rsidRPr="00294891">
              <w:rPr>
                <w:rFonts w:ascii="Arial" w:hAnsi="Arial" w:cs="Arial"/>
                <w:color w:val="000000"/>
                <w:sz w:val="22"/>
                <w:szCs w:val="22"/>
              </w:rPr>
              <w:t xml:space="preserve"> wie möglich – bestätigen und bezeugen kann. </w:t>
            </w:r>
          </w:p>
          <w:p w14:paraId="10036D8E" w14:textId="60E3067B" w:rsidR="00294891" w:rsidRPr="00294891" w:rsidRDefault="00294891" w:rsidP="00294891">
            <w:pPr>
              <w:rPr>
                <w:rFonts w:ascii="Arial" w:hAnsi="Arial" w:cs="Arial"/>
                <w:color w:val="000000"/>
                <w:sz w:val="22"/>
                <w:szCs w:val="22"/>
              </w:rPr>
            </w:pPr>
            <w:r w:rsidRPr="00294891">
              <w:rPr>
                <w:rFonts w:ascii="Arial" w:hAnsi="Arial" w:cs="Arial"/>
                <w:b/>
                <w:bCs/>
                <w:color w:val="000000"/>
                <w:sz w:val="22"/>
                <w:szCs w:val="22"/>
              </w:rPr>
              <w:t xml:space="preserve">Das bedeutet: </w:t>
            </w:r>
            <w:r w:rsidRPr="00294891">
              <w:rPr>
                <w:rFonts w:ascii="Arial" w:hAnsi="Arial" w:cs="Arial"/>
                <w:color w:val="000000"/>
                <w:sz w:val="22"/>
                <w:szCs w:val="22"/>
              </w:rPr>
              <w:t>Sie halten in einem eigenen Aktenvermerk fest, dass Sie der Durchsuchung nicht zugestimmt haben, der Staatsanwalt aber „Gefahr in Verzug“ geltend gemacht hat. Halten Sie am besten die gesamten Umstände (Ort, Zeit, Personen, Ablauf) schriftlich fest und lassen Sie Ihre Aufzeichnungen von Zeugen unterschreiben. So kann im Nachhinein überprüft werden, ob die Vorgehensweise der Staatsanwaltschaft korrekt war.</w:t>
            </w:r>
          </w:p>
        </w:tc>
      </w:tr>
      <w:tr w:rsidR="00294891" w:rsidRPr="00294891" w14:paraId="3F951C42" w14:textId="77777777" w:rsidTr="00294891">
        <w:trPr>
          <w:trHeight w:val="155"/>
          <w:jc w:val="center"/>
        </w:trPr>
        <w:tc>
          <w:tcPr>
            <w:tcW w:w="10731" w:type="dxa"/>
            <w:shd w:val="clear" w:color="auto" w:fill="0098BB"/>
          </w:tcPr>
          <w:p w14:paraId="125E1D42" w14:textId="335BF27D" w:rsidR="00294891" w:rsidRPr="00294891" w:rsidRDefault="00294891" w:rsidP="00226A6E">
            <w:pPr>
              <w:numPr>
                <w:ilvl w:val="0"/>
                <w:numId w:val="4"/>
              </w:numPr>
              <w:ind w:left="361"/>
              <w:rPr>
                <w:rFonts w:ascii="Arial" w:hAnsi="Arial" w:cs="Arial"/>
                <w:b/>
                <w:bCs/>
                <w:color w:val="000000"/>
                <w:sz w:val="22"/>
                <w:szCs w:val="22"/>
              </w:rPr>
            </w:pPr>
            <w:r w:rsidRPr="00294891">
              <w:rPr>
                <w:rFonts w:ascii="Arial" w:hAnsi="Arial" w:cs="Arial"/>
                <w:b/>
                <w:bCs/>
                <w:color w:val="000000"/>
                <w:sz w:val="22"/>
                <w:szCs w:val="22"/>
              </w:rPr>
              <w:t>Dokumentieren Sie schriftlich, welche Unterlagen und Gegenstände beschlagnahmt worden sind</w:t>
            </w:r>
          </w:p>
        </w:tc>
      </w:tr>
      <w:tr w:rsidR="00294891" w:rsidRPr="00294891" w14:paraId="1CE29DC2" w14:textId="77777777" w:rsidTr="00294891">
        <w:trPr>
          <w:trHeight w:val="155"/>
          <w:jc w:val="center"/>
        </w:trPr>
        <w:tc>
          <w:tcPr>
            <w:tcW w:w="10731" w:type="dxa"/>
            <w:shd w:val="clear" w:color="auto" w:fill="auto"/>
          </w:tcPr>
          <w:p w14:paraId="58A70217" w14:textId="77777777" w:rsidR="00294891" w:rsidRPr="00294891" w:rsidRDefault="00294891" w:rsidP="00294891">
            <w:pPr>
              <w:rPr>
                <w:rFonts w:ascii="Arial" w:hAnsi="Arial" w:cs="Arial"/>
                <w:color w:val="000000"/>
                <w:sz w:val="22"/>
                <w:szCs w:val="22"/>
              </w:rPr>
            </w:pPr>
            <w:r w:rsidRPr="00294891">
              <w:rPr>
                <w:rFonts w:ascii="Arial" w:hAnsi="Arial" w:cs="Arial"/>
                <w:color w:val="000000"/>
                <w:sz w:val="22"/>
                <w:szCs w:val="22"/>
              </w:rPr>
              <w:t xml:space="preserve">Der Staatsanwalt muss alle beschlagnahmten Unterlagen schriftlich in einer Liste aufführen. Überprüfen Sie akribisch, ob die Liste vollständig ist. So können Sie sicherstellen, dass Sie alle Unterlagen wieder zurückbekommen. </w:t>
            </w:r>
          </w:p>
          <w:p w14:paraId="657D8EF8" w14:textId="165AD314" w:rsidR="00294891" w:rsidRPr="00294891" w:rsidRDefault="00294891" w:rsidP="00294891">
            <w:pPr>
              <w:rPr>
                <w:rFonts w:ascii="Arial" w:hAnsi="Arial" w:cs="Arial"/>
                <w:color w:val="000000"/>
                <w:sz w:val="22"/>
                <w:szCs w:val="22"/>
              </w:rPr>
            </w:pPr>
            <w:r w:rsidRPr="00294891">
              <w:rPr>
                <w:rFonts w:ascii="Arial" w:hAnsi="Arial" w:cs="Arial"/>
                <w:b/>
                <w:bCs/>
                <w:color w:val="000000"/>
                <w:sz w:val="22"/>
                <w:szCs w:val="22"/>
              </w:rPr>
              <w:t>Wichtig:</w:t>
            </w:r>
            <w:r w:rsidRPr="00294891">
              <w:rPr>
                <w:rFonts w:ascii="Arial" w:hAnsi="Arial" w:cs="Arial"/>
                <w:color w:val="000000"/>
                <w:sz w:val="22"/>
                <w:szCs w:val="22"/>
              </w:rPr>
              <w:t xml:space="preserve"> Diese Unterlagen liegen womöglich über Wochen oder gar Monate bei der Staatsanwaltschaft. Deshalb benötigen Sie unbedingt Kopien der Patientenakten, sonst können Sie in dieser Zeit nicht auf die Daten Ihrer Patienten zugreifen und Ihrer ärztlichen Tätigkeit (fast) nicht mehr nachgehen. Das trifft auch bei digitalen Patientenakten zu, denn manchmal wird der ganze PC mitgenommen. Deshalb achten Sie unbedingt darauf, dass nur die Unterlagen mitgenommen werden, die den Tatbestand betreffen, dessen Sie beschuldigt werden. Das bedeutet: Werden Sie des Abrechnungsbetruges für eine bestimmte oder mehrere EBM-Leistungen bezichtigt, dann darf die Patientenkartei der Privatpatienten nicht beschlagnahmt werden.</w:t>
            </w:r>
          </w:p>
        </w:tc>
      </w:tr>
    </w:tbl>
    <w:p w14:paraId="7375A4AA" w14:textId="77777777" w:rsidR="00294891" w:rsidRPr="007D6E8E" w:rsidRDefault="00294891" w:rsidP="00ED2BFA">
      <w:pPr>
        <w:rPr>
          <w:rFonts w:ascii="Arial" w:hAnsi="Arial" w:cs="Arial"/>
          <w:color w:val="000000"/>
        </w:rPr>
      </w:pPr>
    </w:p>
    <w:sectPr w:rsidR="00294891" w:rsidRPr="007D6E8E" w:rsidSect="00294891">
      <w:footerReference w:type="default" r:id="rId8"/>
      <w:pgSz w:w="11906" w:h="16838"/>
      <w:pgMar w:top="851"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2E032881"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D00DA5">
      <w:rPr>
        <w:rFonts w:ascii="Arial" w:hAnsi="Arial" w:cs="Arial"/>
        <w:lang w:val="de-DE"/>
      </w:rPr>
      <w:t>2</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E"/>
    <w:multiLevelType w:val="hybridMultilevel"/>
    <w:tmpl w:val="31804556"/>
    <w:lvl w:ilvl="0" w:tplc="B26C4C50">
      <w:start w:val="1"/>
      <w:numFmt w:val="decimal"/>
      <w:pStyle w:val="Aufzhlung"/>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6C1B76"/>
    <w:multiLevelType w:val="hybridMultilevel"/>
    <w:tmpl w:val="99549C56"/>
    <w:lvl w:ilvl="0" w:tplc="3B905888">
      <w:start w:val="1"/>
      <w:numFmt w:val="bullet"/>
      <w:pStyle w:val="Auflistung"/>
      <w:lvlText w:val=""/>
      <w:lvlJc w:val="left"/>
      <w:pPr>
        <w:ind w:left="227" w:hanging="227"/>
      </w:pPr>
      <w:rPr>
        <w:rFonts w:ascii="Symbol" w:hAnsi="Symbol" w:hint="default"/>
        <w:color w:val="404040" w:themeColor="text1" w:themeTint="B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6427DD"/>
    <w:multiLevelType w:val="hybridMultilevel"/>
    <w:tmpl w:val="F746D1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93308948">
    <w:abstractNumId w:val="3"/>
  </w:num>
  <w:num w:numId="2" w16cid:durableId="137067801">
    <w:abstractNumId w:val="1"/>
  </w:num>
  <w:num w:numId="3" w16cid:durableId="896861431">
    <w:abstractNumId w:val="0"/>
  </w:num>
  <w:num w:numId="4" w16cid:durableId="16262301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90EC3"/>
    <w:rsid w:val="001B36CF"/>
    <w:rsid w:val="001C2329"/>
    <w:rsid w:val="001C31E4"/>
    <w:rsid w:val="001C6AA2"/>
    <w:rsid w:val="001D4511"/>
    <w:rsid w:val="002163E7"/>
    <w:rsid w:val="00226A6E"/>
    <w:rsid w:val="00245C51"/>
    <w:rsid w:val="0026374D"/>
    <w:rsid w:val="00266A5E"/>
    <w:rsid w:val="0028271D"/>
    <w:rsid w:val="00294891"/>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0577"/>
    <w:rsid w:val="00761BA3"/>
    <w:rsid w:val="00781162"/>
    <w:rsid w:val="007817A4"/>
    <w:rsid w:val="007B5A5C"/>
    <w:rsid w:val="007D6E8E"/>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486"/>
    <w:rsid w:val="00CB5A64"/>
    <w:rsid w:val="00CD18DD"/>
    <w:rsid w:val="00CF38EA"/>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1"/>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Subheadline">
    <w:name w:val="Subheadline"/>
    <w:basedOn w:val="Standard"/>
    <w:qFormat/>
    <w:rsid w:val="00760577"/>
    <w:rPr>
      <w:rFonts w:ascii="Calibri" w:eastAsia="Calibri" w:hAnsi="Calibri"/>
      <w:b/>
      <w:bCs/>
      <w:color w:val="0091BA"/>
      <w:sz w:val="19"/>
      <w:szCs w:val="19"/>
      <w:lang w:eastAsia="en-US"/>
    </w:rPr>
  </w:style>
  <w:style w:type="paragraph" w:customStyle="1" w:styleId="Auflistung">
    <w:name w:val="#Auflistung"/>
    <w:basedOn w:val="Standard"/>
    <w:qFormat/>
    <w:rsid w:val="00760577"/>
    <w:pPr>
      <w:numPr>
        <w:numId w:val="2"/>
      </w:numPr>
      <w:tabs>
        <w:tab w:val="num" w:pos="540"/>
      </w:tabs>
      <w:spacing w:after="240"/>
      <w:ind w:left="540" w:hanging="360"/>
      <w:contextualSpacing/>
      <w:jc w:val="both"/>
    </w:pPr>
    <w:rPr>
      <w:rFonts w:eastAsia="Calibri"/>
      <w:sz w:val="18"/>
      <w:szCs w:val="18"/>
      <w:lang w:eastAsia="en-US"/>
    </w:rPr>
  </w:style>
  <w:style w:type="paragraph" w:customStyle="1" w:styleId="Flietext">
    <w:name w:val="#Fließtext"/>
    <w:basedOn w:val="Standard"/>
    <w:qFormat/>
    <w:rsid w:val="00760577"/>
    <w:pPr>
      <w:spacing w:after="240" w:line="240" w:lineRule="exact"/>
      <w:jc w:val="both"/>
    </w:pPr>
    <w:rPr>
      <w:rFonts w:eastAsia="Calibri"/>
      <w:sz w:val="18"/>
      <w:szCs w:val="18"/>
      <w:lang w:eastAsia="en-US"/>
    </w:rPr>
  </w:style>
  <w:style w:type="character" w:customStyle="1" w:styleId="Schreibschrift">
    <w:name w:val="#Schreibschrift"/>
    <w:uiPriority w:val="1"/>
    <w:qFormat/>
    <w:rsid w:val="00760577"/>
    <w:rPr>
      <w:rFonts w:ascii="Bradley Hand" w:hAnsi="Bradley Hand"/>
      <w:color w:val="0091BA"/>
    </w:rPr>
  </w:style>
  <w:style w:type="character" w:styleId="SchwacheHervorhebung">
    <w:name w:val="Subtle Emphasis"/>
    <w:uiPriority w:val="19"/>
    <w:qFormat/>
    <w:rsid w:val="00760577"/>
    <w:rPr>
      <w:i/>
      <w:iCs/>
      <w:color w:val="404040"/>
    </w:rPr>
  </w:style>
  <w:style w:type="paragraph" w:customStyle="1" w:styleId="TabelleHead">
    <w:name w:val="Tabelle Head"/>
    <w:basedOn w:val="Standard"/>
    <w:qFormat/>
    <w:rsid w:val="007D6E8E"/>
    <w:rPr>
      <w:rFonts w:ascii="Calibri" w:eastAsia="Calibri" w:hAnsi="Calibri"/>
      <w:color w:val="FFFFFF"/>
      <w:sz w:val="19"/>
      <w:szCs w:val="19"/>
      <w:lang w:eastAsia="en-US"/>
    </w:rPr>
  </w:style>
  <w:style w:type="paragraph" w:customStyle="1" w:styleId="TabelleSubline">
    <w:name w:val="Tabelle Subline"/>
    <w:basedOn w:val="Subheadline"/>
    <w:qFormat/>
    <w:rsid w:val="007D6E8E"/>
  </w:style>
  <w:style w:type="paragraph" w:customStyle="1" w:styleId="TabelleText">
    <w:name w:val="Tabelle_Text"/>
    <w:basedOn w:val="Standard"/>
    <w:qFormat/>
    <w:rsid w:val="007D6E8E"/>
    <w:rPr>
      <w:rFonts w:eastAsia="Calibri"/>
      <w:sz w:val="18"/>
      <w:szCs w:val="18"/>
      <w:lang w:eastAsia="en-US"/>
    </w:rPr>
  </w:style>
  <w:style w:type="paragraph" w:customStyle="1" w:styleId="MFATabelleSubhead">
    <w:name w:val="MFA_Tabelle_Subhead"/>
    <w:basedOn w:val="TabelleSubline"/>
    <w:qFormat/>
    <w:rsid w:val="00CF38EA"/>
    <w:rPr>
      <w:color w:val="66B9A6"/>
    </w:rPr>
  </w:style>
  <w:style w:type="paragraph" w:customStyle="1" w:styleId="TableHead">
    <w:name w:val="Table Head"/>
    <w:basedOn w:val="Standard"/>
    <w:qFormat/>
    <w:rsid w:val="00190EC3"/>
    <w:rPr>
      <w:rFonts w:ascii="Calibri" w:eastAsia="Calibri" w:hAnsi="Calibri"/>
      <w:color w:val="FFFFFF"/>
      <w:sz w:val="19"/>
      <w:szCs w:val="19"/>
      <w:lang w:eastAsia="en-US"/>
    </w:rPr>
  </w:style>
  <w:style w:type="paragraph" w:customStyle="1" w:styleId="TableSubline">
    <w:name w:val="Table Subline"/>
    <w:basedOn w:val="Standard"/>
    <w:qFormat/>
    <w:rsid w:val="00190EC3"/>
    <w:pPr>
      <w:spacing w:after="120"/>
      <w:jc w:val="both"/>
    </w:pPr>
    <w:rPr>
      <w:rFonts w:ascii="Calibri" w:eastAsia="Calibri" w:hAnsi="Calibri"/>
      <w:b/>
      <w:bCs/>
      <w:color w:val="DA4F46"/>
      <w:sz w:val="18"/>
      <w:szCs w:val="18"/>
      <w:lang w:val="en-US" w:eastAsia="en-US"/>
    </w:rPr>
  </w:style>
  <w:style w:type="character" w:styleId="Hyperlink">
    <w:name w:val="Hyperlink"/>
    <w:uiPriority w:val="99"/>
    <w:unhideWhenUsed/>
    <w:rsid w:val="00190EC3"/>
    <w:rPr>
      <w:color w:val="0563C1"/>
      <w:u w:val="single"/>
    </w:rPr>
  </w:style>
  <w:style w:type="paragraph" w:customStyle="1" w:styleId="Aufzhlung">
    <w:name w:val="#Aufzählung"/>
    <w:basedOn w:val="Flietext"/>
    <w:qFormat/>
    <w:rsid w:val="00294891"/>
    <w:pPr>
      <w:numPr>
        <w:numId w:val="3"/>
      </w:numPr>
      <w:ind w:left="720" w:hanging="360"/>
    </w:pPr>
  </w:style>
  <w:style w:type="paragraph" w:customStyle="1" w:styleId="FlietextEinzug">
    <w:name w:val="#Fließtext_Einzug"/>
    <w:basedOn w:val="Flietext"/>
    <w:qFormat/>
    <w:rsid w:val="00294891"/>
    <w:pPr>
      <w:spacing w:before="240" w:line="240" w:lineRule="auto"/>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EB80DB5D-6F28-49F9-80CA-A0D1E16AC20C}"/>
</file>

<file path=customXml/itemProps3.xml><?xml version="1.0" encoding="utf-8"?>
<ds:datastoreItem xmlns:ds="http://schemas.openxmlformats.org/officeDocument/2006/customXml" ds:itemID="{AD656928-1DB1-4FB8-9BE2-D5DE66F19FB9}"/>
</file>

<file path=customXml/itemProps4.xml><?xml version="1.0" encoding="utf-8"?>
<ds:datastoreItem xmlns:ds="http://schemas.openxmlformats.org/officeDocument/2006/customXml" ds:itemID="{AD74BC0E-2DD9-4056-9066-6C6A22FBCAE6}"/>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3</cp:revision>
  <dcterms:created xsi:type="dcterms:W3CDTF">2022-12-14T09:34:00Z</dcterms:created>
  <dcterms:modified xsi:type="dcterms:W3CDTF">2022-12-14T09:34:00Z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