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:rsidRPr="002D29A1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0389CC43" w:rsidR="00C53089" w:rsidRPr="00C25A61" w:rsidRDefault="00852A4D" w:rsidP="00163B5E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852A4D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Transportbehälter für Laborproben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88D6933" w:rsidR="00C53089" w:rsidRPr="00B26245" w:rsidRDefault="00852A4D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5F5C53D" w14:textId="54784994" w:rsidR="00E02EDB" w:rsidRDefault="00E02EDB" w:rsidP="00B26245">
      <w:pPr>
        <w:rPr>
          <w:rFonts w:ascii="Arial" w:hAnsi="Arial" w:cs="Arial"/>
          <w:color w:val="000000"/>
        </w:rPr>
      </w:pPr>
    </w:p>
    <w:p w14:paraId="57950108" w14:textId="77777777" w:rsidR="00C25A61" w:rsidRDefault="00C25A61" w:rsidP="00B26245">
      <w:pPr>
        <w:rPr>
          <w:rFonts w:ascii="Arial" w:hAnsi="Arial" w:cs="Arial"/>
          <w:bCs/>
          <w:color w:val="000000"/>
        </w:rPr>
      </w:pPr>
    </w:p>
    <w:p w14:paraId="22351899" w14:textId="69FD60FF" w:rsidR="002D29A1" w:rsidRDefault="002D29A1" w:rsidP="00B26245">
      <w:pPr>
        <w:rPr>
          <w:rFonts w:ascii="Arial" w:hAnsi="Arial" w:cs="Arial"/>
          <w:bCs/>
          <w:color w:val="000000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2850"/>
        <w:gridCol w:w="2694"/>
        <w:gridCol w:w="3969"/>
      </w:tblGrid>
      <w:tr w:rsidR="00852A4D" w:rsidRPr="00852A4D" w14:paraId="7CCDCD61" w14:textId="77777777" w:rsidTr="00852A4D">
        <w:trPr>
          <w:trHeight w:val="397"/>
          <w:jc w:val="center"/>
        </w:trPr>
        <w:tc>
          <w:tcPr>
            <w:tcW w:w="2850" w:type="dxa"/>
            <w:shd w:val="clear" w:color="auto" w:fill="0098BB"/>
            <w:vAlign w:val="center"/>
          </w:tcPr>
          <w:p w14:paraId="50CB0022" w14:textId="77777777" w:rsidR="00852A4D" w:rsidRPr="00852A4D" w:rsidRDefault="00852A4D" w:rsidP="00852A4D">
            <w:pPr>
              <w:rPr>
                <w:rFonts w:ascii="Arial" w:hAnsi="Arial" w:cs="Arial"/>
                <w:b/>
                <w:color w:val="000000"/>
              </w:rPr>
            </w:pPr>
            <w:r w:rsidRPr="00852A4D">
              <w:rPr>
                <w:rFonts w:ascii="Arial" w:hAnsi="Arial" w:cs="Arial"/>
                <w:b/>
                <w:color w:val="000000"/>
              </w:rPr>
              <w:t>Art der Probe</w:t>
            </w:r>
          </w:p>
        </w:tc>
        <w:tc>
          <w:tcPr>
            <w:tcW w:w="2694" w:type="dxa"/>
            <w:shd w:val="clear" w:color="auto" w:fill="0098BB"/>
            <w:vAlign w:val="center"/>
          </w:tcPr>
          <w:p w14:paraId="16D0F856" w14:textId="77777777" w:rsidR="00852A4D" w:rsidRPr="00852A4D" w:rsidRDefault="00852A4D" w:rsidP="00852A4D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52A4D">
              <w:rPr>
                <w:rFonts w:ascii="Arial" w:hAnsi="Arial" w:cs="Arial"/>
                <w:b/>
                <w:color w:val="000000"/>
              </w:rPr>
              <w:t>Transportgefäß</w:t>
            </w:r>
            <w:proofErr w:type="spellEnd"/>
          </w:p>
        </w:tc>
        <w:tc>
          <w:tcPr>
            <w:tcW w:w="3969" w:type="dxa"/>
            <w:shd w:val="clear" w:color="auto" w:fill="0098BB"/>
            <w:vAlign w:val="center"/>
          </w:tcPr>
          <w:p w14:paraId="69D3C8DE" w14:textId="77777777" w:rsidR="00852A4D" w:rsidRPr="00852A4D" w:rsidRDefault="00852A4D" w:rsidP="00852A4D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52A4D">
              <w:rPr>
                <w:rFonts w:ascii="Arial" w:hAnsi="Arial" w:cs="Arial"/>
                <w:b/>
                <w:color w:val="000000"/>
              </w:rPr>
              <w:t>Besonderheit</w:t>
            </w:r>
            <w:proofErr w:type="spellEnd"/>
          </w:p>
        </w:tc>
      </w:tr>
      <w:tr w:rsidR="00852A4D" w:rsidRPr="00852A4D" w14:paraId="53ACBF59" w14:textId="77777777" w:rsidTr="00852A4D">
        <w:trPr>
          <w:trHeight w:val="397"/>
          <w:jc w:val="center"/>
        </w:trPr>
        <w:tc>
          <w:tcPr>
            <w:tcW w:w="2850" w:type="dxa"/>
            <w:shd w:val="clear" w:color="auto" w:fill="auto"/>
            <w:vAlign w:val="center"/>
          </w:tcPr>
          <w:p w14:paraId="7E4CEF2E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 xml:space="preserve">flüssige Probenmaterialien, Gewebeproben oder Fremdmaterial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80BC1B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Becher mit Deckel, Hartplastik oder Universalröhrchen, steril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BD5684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bei Gewebeproben etwas sterile 0,9 % NaCl-Lösung zugeben, um ein Austrocknen der Probe zu vermeiden.</w:t>
            </w:r>
          </w:p>
        </w:tc>
      </w:tr>
      <w:tr w:rsidR="00852A4D" w:rsidRPr="00852A4D" w14:paraId="2F5569A8" w14:textId="77777777" w:rsidTr="00852A4D">
        <w:trPr>
          <w:trHeight w:val="397"/>
          <w:jc w:val="center"/>
        </w:trPr>
        <w:tc>
          <w:tcPr>
            <w:tcW w:w="2850" w:type="dxa"/>
            <w:shd w:val="clear" w:color="auto" w:fill="auto"/>
            <w:vAlign w:val="center"/>
          </w:tcPr>
          <w:p w14:paraId="2535986B" w14:textId="77777777" w:rsidR="00852A4D" w:rsidRPr="00852A4D" w:rsidRDefault="00852A4D" w:rsidP="00852A4D">
            <w:pPr>
              <w:rPr>
                <w:rFonts w:ascii="Arial" w:hAnsi="Arial" w:cs="Arial"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Blut für verschiedene Untersuchungen (z. B. Blutbild)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25079B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/>
                <w:color w:val="000000"/>
              </w:rPr>
              <w:t>EDTA-Blutröhrchen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A18AC4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Röhrchen möglichst vollständig befüllen und nach Blutentnahme leicht schwenken</w:t>
            </w:r>
          </w:p>
        </w:tc>
      </w:tr>
      <w:tr w:rsidR="00852A4D" w:rsidRPr="00852A4D" w14:paraId="1EA77CC8" w14:textId="77777777" w:rsidTr="00852A4D">
        <w:trPr>
          <w:trHeight w:val="397"/>
          <w:jc w:val="center"/>
        </w:trPr>
        <w:tc>
          <w:tcPr>
            <w:tcW w:w="2850" w:type="dxa"/>
            <w:shd w:val="clear" w:color="auto" w:fill="auto"/>
            <w:vAlign w:val="center"/>
          </w:tcPr>
          <w:p w14:paraId="7AC30D99" w14:textId="77777777" w:rsidR="00852A4D" w:rsidRPr="00852A4D" w:rsidRDefault="00852A4D" w:rsidP="00852A4D">
            <w:pPr>
              <w:rPr>
                <w:rFonts w:ascii="Arial" w:hAnsi="Arial" w:cs="Arial"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 xml:space="preserve">Einsendung von Material, z. B. zum Nachweis von </w:t>
            </w:r>
            <w:proofErr w:type="spellStart"/>
            <w:r w:rsidRPr="00852A4D">
              <w:rPr>
                <w:rFonts w:ascii="Arial" w:hAnsi="Arial" w:cs="Arial"/>
                <w:b/>
                <w:color w:val="000000"/>
              </w:rPr>
              <w:t>Chlamydia</w:t>
            </w:r>
            <w:proofErr w:type="spellEnd"/>
            <w:r w:rsidRPr="00852A4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852A4D">
              <w:rPr>
                <w:rFonts w:ascii="Arial" w:hAnsi="Arial" w:cs="Arial"/>
                <w:b/>
                <w:color w:val="000000"/>
              </w:rPr>
              <w:t>trachomatis</w:t>
            </w:r>
            <w:proofErr w:type="spellEnd"/>
            <w:r w:rsidRPr="00852A4D">
              <w:rPr>
                <w:rFonts w:ascii="Arial" w:hAnsi="Arial" w:cs="Arial"/>
                <w:b/>
                <w:color w:val="000000"/>
              </w:rPr>
              <w:t>-</w:t>
            </w:r>
            <w:r w:rsidRPr="00852A4D">
              <w:rPr>
                <w:rFonts w:ascii="Arial" w:hAnsi="Arial" w:cs="Arial"/>
                <w:bCs/>
                <w:color w:val="000000"/>
              </w:rPr>
              <w:t>DNA (PCR), Augenabstrich, Genitalabstrich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7ED8FEF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2A4D">
              <w:rPr>
                <w:rFonts w:ascii="Arial" w:hAnsi="Arial" w:cs="Arial"/>
                <w:b/>
                <w:color w:val="000000"/>
              </w:rPr>
              <w:t>Chlamydia</w:t>
            </w:r>
            <w:proofErr w:type="spellEnd"/>
            <w:r w:rsidRPr="00852A4D">
              <w:rPr>
                <w:rFonts w:ascii="Arial" w:hAnsi="Arial" w:cs="Arial"/>
                <w:b/>
                <w:color w:val="000000"/>
              </w:rPr>
              <w:t>-</w:t>
            </w:r>
            <w:proofErr w:type="spellStart"/>
            <w:r w:rsidRPr="00852A4D">
              <w:rPr>
                <w:rFonts w:ascii="Arial" w:hAnsi="Arial" w:cs="Arial"/>
                <w:b/>
                <w:color w:val="000000"/>
              </w:rPr>
              <w:t>trachomatis</w:t>
            </w:r>
            <w:proofErr w:type="spellEnd"/>
            <w:r w:rsidRPr="00852A4D">
              <w:rPr>
                <w:rFonts w:ascii="Arial" w:hAnsi="Arial" w:cs="Arial"/>
                <w:b/>
                <w:color w:val="000000"/>
              </w:rPr>
              <w:t>-Röhrchen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B78649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 xml:space="preserve">Abstriche (z. B. Zervikal- oder </w:t>
            </w:r>
            <w:proofErr w:type="spellStart"/>
            <w:r w:rsidRPr="00852A4D">
              <w:rPr>
                <w:rFonts w:ascii="Arial" w:hAnsi="Arial" w:cs="Arial"/>
                <w:bCs/>
                <w:color w:val="000000"/>
              </w:rPr>
              <w:t>Urethralabstriche</w:t>
            </w:r>
            <w:proofErr w:type="spellEnd"/>
            <w:r w:rsidRPr="00852A4D">
              <w:rPr>
                <w:rFonts w:ascii="Arial" w:hAnsi="Arial" w:cs="Arial"/>
                <w:bCs/>
                <w:color w:val="000000"/>
              </w:rPr>
              <w:t>): Abstrichtupfer nach Abstrich im Transportmedium belassen!</w:t>
            </w:r>
          </w:p>
        </w:tc>
      </w:tr>
      <w:tr w:rsidR="00852A4D" w:rsidRPr="00852A4D" w14:paraId="690C3893" w14:textId="77777777" w:rsidTr="00852A4D">
        <w:trPr>
          <w:trHeight w:val="397"/>
          <w:jc w:val="center"/>
        </w:trPr>
        <w:tc>
          <w:tcPr>
            <w:tcW w:w="2850" w:type="dxa"/>
            <w:shd w:val="clear" w:color="auto" w:fill="auto"/>
            <w:vAlign w:val="center"/>
          </w:tcPr>
          <w:p w14:paraId="1A6ACB77" w14:textId="77777777" w:rsidR="00852A4D" w:rsidRPr="00852A4D" w:rsidRDefault="00852A4D" w:rsidP="00852A4D">
            <w:pPr>
              <w:rPr>
                <w:rFonts w:ascii="Arial" w:hAnsi="Arial" w:cs="Arial"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Blut, z. B. für Gerinnung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0C60A9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/>
                <w:color w:val="000000"/>
              </w:rPr>
              <w:t>Citrat-Blutröhrchen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E4F15D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Röhrchen vollständig befüllen und nach Blutentnahme leicht schwenken</w:t>
            </w:r>
          </w:p>
        </w:tc>
      </w:tr>
      <w:tr w:rsidR="00852A4D" w:rsidRPr="00852A4D" w14:paraId="1C500C6F" w14:textId="77777777" w:rsidTr="00852A4D">
        <w:trPr>
          <w:trHeight w:val="397"/>
          <w:jc w:val="center"/>
        </w:trPr>
        <w:tc>
          <w:tcPr>
            <w:tcW w:w="2850" w:type="dxa"/>
            <w:shd w:val="clear" w:color="auto" w:fill="auto"/>
            <w:vAlign w:val="center"/>
          </w:tcPr>
          <w:p w14:paraId="14E35DA9" w14:textId="77777777" w:rsidR="00852A4D" w:rsidRPr="00852A4D" w:rsidRDefault="00852A4D" w:rsidP="00852A4D">
            <w:pPr>
              <w:rPr>
                <w:rFonts w:ascii="Arial" w:hAnsi="Arial" w:cs="Arial"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Abstrich bei V. a. Besiedelung mit MRSA (PCR-Diagnostik)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8CD257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/>
                <w:color w:val="000000"/>
              </w:rPr>
              <w:t>Kunstfasertupfer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6E4B6A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Tupfer immer in Röhrchen ohne Transportmedium geben</w:t>
            </w:r>
          </w:p>
        </w:tc>
      </w:tr>
      <w:tr w:rsidR="00852A4D" w:rsidRPr="00852A4D" w14:paraId="42A1217D" w14:textId="77777777" w:rsidTr="00852A4D">
        <w:trPr>
          <w:trHeight w:val="397"/>
          <w:jc w:val="center"/>
        </w:trPr>
        <w:tc>
          <w:tcPr>
            <w:tcW w:w="2850" w:type="dxa"/>
            <w:shd w:val="clear" w:color="auto" w:fill="auto"/>
            <w:vAlign w:val="center"/>
          </w:tcPr>
          <w:p w14:paraId="45F9B984" w14:textId="77777777" w:rsidR="00852A4D" w:rsidRPr="00852A4D" w:rsidRDefault="00852A4D" w:rsidP="00852A4D">
            <w:pPr>
              <w:rPr>
                <w:rFonts w:ascii="Arial" w:hAnsi="Arial" w:cs="Arial"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Blut für serologische Untersuchungen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4EE9D4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/>
                <w:color w:val="000000"/>
              </w:rPr>
              <w:t>Serum-</w:t>
            </w:r>
            <w:proofErr w:type="spellStart"/>
            <w:r w:rsidRPr="00852A4D">
              <w:rPr>
                <w:rFonts w:ascii="Arial" w:hAnsi="Arial" w:cs="Arial"/>
                <w:b/>
                <w:color w:val="000000"/>
              </w:rPr>
              <w:t>Monovette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266D1A92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852A4D">
              <w:rPr>
                <w:rFonts w:ascii="Arial" w:hAnsi="Arial" w:cs="Arial"/>
                <w:bCs/>
                <w:color w:val="000000"/>
              </w:rPr>
              <w:t>Monovette</w:t>
            </w:r>
            <w:proofErr w:type="spellEnd"/>
            <w:r w:rsidRPr="00852A4D">
              <w:rPr>
                <w:rFonts w:ascii="Arial" w:hAnsi="Arial" w:cs="Arial"/>
                <w:bCs/>
                <w:color w:val="000000"/>
              </w:rPr>
              <w:t xml:space="preserve"> mindestens zur Hälfte befüllen und nach Blutentnahme leicht schwenken. Wichtig: stehend lagern</w:t>
            </w:r>
          </w:p>
        </w:tc>
      </w:tr>
      <w:tr w:rsidR="00852A4D" w:rsidRPr="00852A4D" w14:paraId="2A9A22BE" w14:textId="77777777" w:rsidTr="00852A4D">
        <w:trPr>
          <w:trHeight w:val="397"/>
          <w:jc w:val="center"/>
        </w:trPr>
        <w:tc>
          <w:tcPr>
            <w:tcW w:w="2850" w:type="dxa"/>
            <w:shd w:val="clear" w:color="auto" w:fill="auto"/>
            <w:vAlign w:val="center"/>
          </w:tcPr>
          <w:p w14:paraId="3A8E9911" w14:textId="77777777" w:rsidR="00852A4D" w:rsidRPr="00852A4D" w:rsidRDefault="00852A4D" w:rsidP="00852A4D">
            <w:pPr>
              <w:rPr>
                <w:rFonts w:ascii="Arial" w:hAnsi="Arial" w:cs="Arial"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Stuhlproben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930728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/>
                <w:color w:val="000000"/>
              </w:rPr>
              <w:t>Stuhlröhrchen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86452D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Löffelchen mit Stuhl befüllen und vorsichtig in Röhrchen einführen</w:t>
            </w:r>
          </w:p>
          <w:p w14:paraId="1418994E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Mindestprobenmenge: haselnussgroße Portion Stuhl</w:t>
            </w:r>
          </w:p>
          <w:p w14:paraId="0EBE0388" w14:textId="77777777" w:rsidR="00852A4D" w:rsidRPr="00852A4D" w:rsidRDefault="00852A4D" w:rsidP="00852A4D">
            <w:pPr>
              <w:rPr>
                <w:rFonts w:ascii="Arial" w:hAnsi="Arial" w:cs="Arial"/>
                <w:bCs/>
                <w:color w:val="000000"/>
              </w:rPr>
            </w:pPr>
            <w:r w:rsidRPr="00852A4D">
              <w:rPr>
                <w:rFonts w:ascii="Arial" w:hAnsi="Arial" w:cs="Arial"/>
                <w:bCs/>
                <w:color w:val="000000"/>
              </w:rPr>
              <w:t>Höchstprobenmenge: Probenpegel max. bis zur Hälfte des Röhrchens</w:t>
            </w:r>
          </w:p>
        </w:tc>
      </w:tr>
    </w:tbl>
    <w:p w14:paraId="387F186A" w14:textId="7ED8650F" w:rsidR="002D29A1" w:rsidRDefault="002D29A1" w:rsidP="00B26245">
      <w:pPr>
        <w:rPr>
          <w:rFonts w:ascii="Arial" w:hAnsi="Arial" w:cs="Arial"/>
          <w:bCs/>
          <w:color w:val="000000"/>
        </w:rPr>
      </w:pPr>
    </w:p>
    <w:sectPr w:rsidR="002D29A1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5466BD8C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BE352F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E782D"/>
    <w:multiLevelType w:val="hybridMultilevel"/>
    <w:tmpl w:val="258496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D5839"/>
    <w:multiLevelType w:val="hybridMultilevel"/>
    <w:tmpl w:val="621A1718"/>
    <w:lvl w:ilvl="0" w:tplc="EC9A6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2669E"/>
    <w:multiLevelType w:val="hybridMultilevel"/>
    <w:tmpl w:val="1748A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5"/>
  </w:num>
  <w:num w:numId="5" w16cid:durableId="1588537969">
    <w:abstractNumId w:val="46"/>
  </w:num>
  <w:num w:numId="6" w16cid:durableId="260920476">
    <w:abstractNumId w:val="3"/>
  </w:num>
  <w:num w:numId="7" w16cid:durableId="1182429349">
    <w:abstractNumId w:val="14"/>
  </w:num>
  <w:num w:numId="8" w16cid:durableId="1010260152">
    <w:abstractNumId w:val="32"/>
  </w:num>
  <w:num w:numId="9" w16cid:durableId="445925824">
    <w:abstractNumId w:val="24"/>
  </w:num>
  <w:num w:numId="10" w16cid:durableId="1640957786">
    <w:abstractNumId w:val="8"/>
  </w:num>
  <w:num w:numId="11" w16cid:durableId="1380325484">
    <w:abstractNumId w:val="37"/>
  </w:num>
  <w:num w:numId="12" w16cid:durableId="595942327">
    <w:abstractNumId w:val="41"/>
  </w:num>
  <w:num w:numId="13" w16cid:durableId="395322060">
    <w:abstractNumId w:val="4"/>
  </w:num>
  <w:num w:numId="14" w16cid:durableId="1299072314">
    <w:abstractNumId w:val="15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1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8"/>
  </w:num>
  <w:num w:numId="28" w16cid:durableId="1185706464">
    <w:abstractNumId w:val="42"/>
  </w:num>
  <w:num w:numId="29" w16cid:durableId="1659728008">
    <w:abstractNumId w:val="34"/>
  </w:num>
  <w:num w:numId="30" w16cid:durableId="572542196">
    <w:abstractNumId w:val="19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40"/>
  </w:num>
  <w:num w:numId="35" w16cid:durableId="677853825">
    <w:abstractNumId w:val="33"/>
  </w:num>
  <w:num w:numId="36" w16cid:durableId="1131747035">
    <w:abstractNumId w:val="21"/>
  </w:num>
  <w:num w:numId="37" w16cid:durableId="1960994142">
    <w:abstractNumId w:val="30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6"/>
  </w:num>
  <w:num w:numId="42" w16cid:durableId="383454912">
    <w:abstractNumId w:val="29"/>
  </w:num>
  <w:num w:numId="43" w16cid:durableId="820778254">
    <w:abstractNumId w:val="7"/>
  </w:num>
  <w:num w:numId="44" w16cid:durableId="1885287902">
    <w:abstractNumId w:val="31"/>
  </w:num>
  <w:num w:numId="45" w16cid:durableId="859928333">
    <w:abstractNumId w:val="38"/>
  </w:num>
  <w:num w:numId="46" w16cid:durableId="2121483454">
    <w:abstractNumId w:val="10"/>
  </w:num>
  <w:num w:numId="47" w16cid:durableId="605424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63B5E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750"/>
    <w:rsid w:val="002C7CDF"/>
    <w:rsid w:val="002D29A1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A45C6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5723"/>
    <w:rsid w:val="007F6205"/>
    <w:rsid w:val="008114B5"/>
    <w:rsid w:val="00852A4D"/>
    <w:rsid w:val="0085537C"/>
    <w:rsid w:val="008846BE"/>
    <w:rsid w:val="00886D3E"/>
    <w:rsid w:val="008B3F92"/>
    <w:rsid w:val="008D5A23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96A88"/>
    <w:rsid w:val="00AA4074"/>
    <w:rsid w:val="00AB3D4F"/>
    <w:rsid w:val="00AE0B30"/>
    <w:rsid w:val="00AE1890"/>
    <w:rsid w:val="00AE3EC8"/>
    <w:rsid w:val="00AF4FE6"/>
    <w:rsid w:val="00B058B0"/>
    <w:rsid w:val="00B26245"/>
    <w:rsid w:val="00B30382"/>
    <w:rsid w:val="00B305CC"/>
    <w:rsid w:val="00B344DA"/>
    <w:rsid w:val="00B5043E"/>
    <w:rsid w:val="00B5589E"/>
    <w:rsid w:val="00B802CD"/>
    <w:rsid w:val="00B818B7"/>
    <w:rsid w:val="00B8488D"/>
    <w:rsid w:val="00B9255F"/>
    <w:rsid w:val="00B971B8"/>
    <w:rsid w:val="00BA21B2"/>
    <w:rsid w:val="00BA42BF"/>
    <w:rsid w:val="00BB6E63"/>
    <w:rsid w:val="00BE352F"/>
    <w:rsid w:val="00BE436A"/>
    <w:rsid w:val="00BF3D6A"/>
    <w:rsid w:val="00BF5E1F"/>
    <w:rsid w:val="00C230EA"/>
    <w:rsid w:val="00C25A61"/>
    <w:rsid w:val="00C36B72"/>
    <w:rsid w:val="00C36C7B"/>
    <w:rsid w:val="00C40B3B"/>
    <w:rsid w:val="00C41422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2EDB"/>
    <w:rsid w:val="00E03803"/>
    <w:rsid w:val="00E1395E"/>
    <w:rsid w:val="00E2296C"/>
    <w:rsid w:val="00E33B39"/>
    <w:rsid w:val="00E44A5C"/>
    <w:rsid w:val="00E4701F"/>
    <w:rsid w:val="00E475C4"/>
    <w:rsid w:val="00E50138"/>
    <w:rsid w:val="00E6635B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7F572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7F572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7F5723"/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B26245"/>
    <w:rPr>
      <w:rFonts w:ascii="Bradley Hand" w:hAnsi="Bradley Hand"/>
      <w:color w:val="0091BA"/>
    </w:rPr>
  </w:style>
  <w:style w:type="paragraph" w:customStyle="1" w:styleId="Flietext">
    <w:name w:val="#Fließtext"/>
    <w:basedOn w:val="Standard"/>
    <w:qFormat/>
    <w:rsid w:val="00E02EDB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paragraph" w:customStyle="1" w:styleId="Vorspann">
    <w:name w:val="#Vorspann"/>
    <w:basedOn w:val="Standard"/>
    <w:qFormat/>
    <w:rsid w:val="003A45C6"/>
    <w:pPr>
      <w:spacing w:after="120"/>
      <w:jc w:val="both"/>
    </w:pPr>
    <w:rPr>
      <w:rFonts w:ascii="Calibri" w:eastAsia="Calibri" w:hAnsi="Calibri"/>
      <w:sz w:val="19"/>
      <w:szCs w:val="19"/>
      <w:lang w:eastAsia="en-US"/>
    </w:rPr>
  </w:style>
  <w:style w:type="paragraph" w:customStyle="1" w:styleId="TableHead">
    <w:name w:val="Table Head"/>
    <w:basedOn w:val="Standard"/>
    <w:qFormat/>
    <w:rsid w:val="00163B5E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Vorspann"/>
    <w:qFormat/>
    <w:rsid w:val="00163B5E"/>
    <w:rPr>
      <w:b/>
      <w:bCs/>
      <w:color w:val="DA4F46"/>
      <w:sz w:val="18"/>
      <w:szCs w:val="18"/>
      <w:lang w:val="en-US"/>
    </w:rPr>
  </w:style>
  <w:style w:type="paragraph" w:customStyle="1" w:styleId="Subhead">
    <w:name w:val="Subhead"/>
    <w:basedOn w:val="Standard"/>
    <w:qFormat/>
    <w:rsid w:val="002D29A1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44C5AF-CF42-4AA8-B819-6BD57750F5DF}"/>
</file>

<file path=customXml/itemProps3.xml><?xml version="1.0" encoding="utf-8"?>
<ds:datastoreItem xmlns:ds="http://schemas.openxmlformats.org/officeDocument/2006/customXml" ds:itemID="{D8AECA14-6F57-4310-9C0B-45EDD9CCE6FA}"/>
</file>

<file path=customXml/itemProps4.xml><?xml version="1.0" encoding="utf-8"?>
<ds:datastoreItem xmlns:ds="http://schemas.openxmlformats.org/officeDocument/2006/customXml" ds:itemID="{05F5B5CE-7769-4AB0-9526-A0F220E16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2023-02-20T15:57:00Z</dcterms:created>
  <dcterms:modified xsi:type="dcterms:W3CDTF">2023-02-20T15:57:00Z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