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:rsidRPr="00E55510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26F78DB3" w:rsidR="00C53089" w:rsidRPr="00E55510" w:rsidRDefault="00830035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830035">
              <w:rPr>
                <w:rFonts w:ascii="Arial" w:hAnsi="Arial" w:cs="Arial"/>
                <w:b/>
                <w:color w:val="A39863"/>
                <w:sz w:val="32"/>
              </w:rPr>
              <w:t>Definition zum Behandlungsfall (BHF)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2C5E0D0" w:rsidR="00C53089" w:rsidRPr="002A2E77" w:rsidRDefault="0083003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17CDCD4" w14:textId="3E309199" w:rsidR="003E3EC9" w:rsidRDefault="003E3EC9" w:rsidP="00ED2BFA">
      <w:pPr>
        <w:rPr>
          <w:rFonts w:ascii="Arial" w:hAnsi="Arial" w:cs="Arial"/>
          <w:color w:val="000000"/>
        </w:rPr>
      </w:pPr>
    </w:p>
    <w:p w14:paraId="5212660F" w14:textId="233508D5" w:rsidR="00E55510" w:rsidRDefault="00E55510" w:rsidP="00ED2BFA">
      <w:pPr>
        <w:rPr>
          <w:rFonts w:ascii="Arial" w:hAnsi="Arial" w:cs="Arial"/>
          <w:color w:val="000000"/>
        </w:rPr>
      </w:pPr>
    </w:p>
    <w:p w14:paraId="44A09D8F" w14:textId="60C94A0B" w:rsidR="00830035" w:rsidRDefault="00830035" w:rsidP="00ED2BFA">
      <w:pPr>
        <w:rPr>
          <w:rFonts w:ascii="Arial" w:hAnsi="Arial" w:cs="Arial"/>
          <w:color w:val="000000"/>
        </w:rPr>
      </w:pP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2363"/>
        <w:gridCol w:w="3082"/>
        <w:gridCol w:w="2846"/>
      </w:tblGrid>
      <w:tr w:rsidR="00830035" w:rsidRPr="00830035" w14:paraId="45DF58E6" w14:textId="77777777" w:rsidTr="00830035">
        <w:trPr>
          <w:trHeight w:val="397"/>
          <w:jc w:val="center"/>
        </w:trPr>
        <w:tc>
          <w:tcPr>
            <w:tcW w:w="2363" w:type="dxa"/>
            <w:shd w:val="clear" w:color="auto" w:fill="0098BB"/>
            <w:vAlign w:val="center"/>
          </w:tcPr>
          <w:p w14:paraId="3DE4D267" w14:textId="77777777" w:rsidR="00830035" w:rsidRPr="00830035" w:rsidRDefault="00830035" w:rsidP="008300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30035">
              <w:rPr>
                <w:rFonts w:ascii="Arial" w:hAnsi="Arial" w:cs="Arial"/>
                <w:b/>
                <w:color w:val="000000"/>
              </w:rPr>
              <w:t>UV-GOÄ</w:t>
            </w:r>
          </w:p>
        </w:tc>
        <w:tc>
          <w:tcPr>
            <w:tcW w:w="3082" w:type="dxa"/>
            <w:shd w:val="clear" w:color="auto" w:fill="0098BB"/>
            <w:vAlign w:val="center"/>
          </w:tcPr>
          <w:p w14:paraId="0E689270" w14:textId="77777777" w:rsidR="00830035" w:rsidRPr="00830035" w:rsidRDefault="00830035" w:rsidP="008300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30035">
              <w:rPr>
                <w:rFonts w:ascii="Arial" w:hAnsi="Arial" w:cs="Arial"/>
                <w:b/>
                <w:color w:val="000000"/>
              </w:rPr>
              <w:t>GOÄ</w:t>
            </w:r>
          </w:p>
        </w:tc>
        <w:tc>
          <w:tcPr>
            <w:tcW w:w="2845" w:type="dxa"/>
            <w:shd w:val="clear" w:color="auto" w:fill="0098BB"/>
            <w:vAlign w:val="center"/>
          </w:tcPr>
          <w:p w14:paraId="5CC67E12" w14:textId="77777777" w:rsidR="00830035" w:rsidRPr="00830035" w:rsidRDefault="00830035" w:rsidP="008300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30035">
              <w:rPr>
                <w:rFonts w:ascii="Arial" w:hAnsi="Arial" w:cs="Arial"/>
                <w:b/>
                <w:color w:val="000000"/>
              </w:rPr>
              <w:t>EBM</w:t>
            </w:r>
          </w:p>
        </w:tc>
      </w:tr>
      <w:tr w:rsidR="00830035" w:rsidRPr="00830035" w14:paraId="674AD485" w14:textId="77777777" w:rsidTr="00830035">
        <w:trPr>
          <w:trHeight w:val="397"/>
          <w:jc w:val="center"/>
        </w:trPr>
        <w:tc>
          <w:tcPr>
            <w:tcW w:w="8291" w:type="dxa"/>
            <w:gridSpan w:val="3"/>
            <w:shd w:val="clear" w:color="auto" w:fill="0098BB"/>
            <w:vAlign w:val="center"/>
          </w:tcPr>
          <w:p w14:paraId="246239A9" w14:textId="77777777" w:rsidR="00830035" w:rsidRPr="00830035" w:rsidRDefault="00830035" w:rsidP="008300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30035">
              <w:rPr>
                <w:rFonts w:ascii="Arial" w:hAnsi="Arial" w:cs="Arial"/>
                <w:b/>
                <w:color w:val="000000"/>
              </w:rPr>
              <w:t>Ein Behandlungsfall umfasst …</w:t>
            </w:r>
          </w:p>
        </w:tc>
      </w:tr>
      <w:tr w:rsidR="00830035" w:rsidRPr="00830035" w14:paraId="1379673C" w14:textId="77777777" w:rsidTr="00830035">
        <w:trPr>
          <w:trHeight w:val="397"/>
          <w:jc w:val="center"/>
        </w:trPr>
        <w:tc>
          <w:tcPr>
            <w:tcW w:w="2363" w:type="dxa"/>
            <w:vAlign w:val="center"/>
          </w:tcPr>
          <w:p w14:paraId="3CC7E123" w14:textId="77777777" w:rsidR="00830035" w:rsidRPr="00830035" w:rsidRDefault="00830035" w:rsidP="00830035">
            <w:pPr>
              <w:rPr>
                <w:rFonts w:ascii="Arial" w:hAnsi="Arial" w:cs="Arial"/>
                <w:bCs/>
                <w:color w:val="000000"/>
              </w:rPr>
            </w:pPr>
            <w:r w:rsidRPr="00830035">
              <w:rPr>
                <w:rFonts w:ascii="Arial" w:hAnsi="Arial" w:cs="Arial"/>
                <w:bCs/>
                <w:color w:val="000000"/>
              </w:rPr>
              <w:t>… 3 Monate (ab dem 1. Behandlungstag).</w:t>
            </w:r>
          </w:p>
          <w:p w14:paraId="5B14C7FE" w14:textId="77777777" w:rsidR="00830035" w:rsidRPr="00830035" w:rsidRDefault="00830035" w:rsidP="00830035">
            <w:pPr>
              <w:rPr>
                <w:rFonts w:ascii="Arial" w:hAnsi="Arial" w:cs="Arial"/>
                <w:bCs/>
                <w:color w:val="000000"/>
              </w:rPr>
            </w:pPr>
            <w:r w:rsidRPr="00830035">
              <w:rPr>
                <w:rFonts w:ascii="Arial" w:hAnsi="Arial" w:cs="Arial"/>
                <w:bCs/>
                <w:color w:val="000000"/>
              </w:rPr>
              <w:t>Ein neuer Unfall des Patienten löst einen neuen BHF aus – auch vor Ende der 3-Monats-Frist des 1. Unfalls!</w:t>
            </w:r>
          </w:p>
        </w:tc>
        <w:tc>
          <w:tcPr>
            <w:tcW w:w="3082" w:type="dxa"/>
            <w:vAlign w:val="center"/>
          </w:tcPr>
          <w:p w14:paraId="474931AA" w14:textId="77777777" w:rsidR="00830035" w:rsidRPr="00830035" w:rsidRDefault="00830035" w:rsidP="00830035">
            <w:pPr>
              <w:rPr>
                <w:rFonts w:ascii="Arial" w:hAnsi="Arial" w:cs="Arial"/>
                <w:bCs/>
                <w:color w:val="000000"/>
              </w:rPr>
            </w:pPr>
            <w:r w:rsidRPr="00830035">
              <w:rPr>
                <w:rFonts w:ascii="Arial" w:hAnsi="Arial" w:cs="Arial"/>
                <w:bCs/>
                <w:color w:val="000000"/>
              </w:rPr>
              <w:t xml:space="preserve">… 1 Monat (ab dem 1. Behandlungstag). </w:t>
            </w:r>
          </w:p>
          <w:p w14:paraId="3B81A2AC" w14:textId="4FFE208A" w:rsidR="00830035" w:rsidRPr="00830035" w:rsidRDefault="00830035" w:rsidP="00830035">
            <w:pPr>
              <w:rPr>
                <w:rFonts w:ascii="Arial" w:hAnsi="Arial" w:cs="Arial"/>
                <w:bCs/>
                <w:color w:val="000000"/>
              </w:rPr>
            </w:pPr>
            <w:r w:rsidRPr="00830035">
              <w:rPr>
                <w:rFonts w:ascii="Arial" w:hAnsi="Arial" w:cs="Arial"/>
                <w:bCs/>
                <w:color w:val="000000"/>
              </w:rPr>
              <w:t>Eine Neuerkrankung des Patienten, die nicht im unmittelbaren Zusammenhang mit der behandelten Erkrankung steht, löst einen neuen BHF aus – auch vor Ende der 1-Monats-Frist der 1. Erkrankung!</w:t>
            </w:r>
          </w:p>
        </w:tc>
        <w:tc>
          <w:tcPr>
            <w:tcW w:w="2845" w:type="dxa"/>
            <w:vAlign w:val="center"/>
          </w:tcPr>
          <w:p w14:paraId="774A83D6" w14:textId="77777777" w:rsidR="00830035" w:rsidRPr="00830035" w:rsidRDefault="00830035" w:rsidP="00830035">
            <w:pPr>
              <w:rPr>
                <w:rFonts w:ascii="Arial" w:hAnsi="Arial" w:cs="Arial"/>
                <w:bCs/>
                <w:color w:val="000000"/>
              </w:rPr>
            </w:pPr>
            <w:r w:rsidRPr="00830035">
              <w:rPr>
                <w:rFonts w:ascii="Arial" w:hAnsi="Arial" w:cs="Arial"/>
                <w:bCs/>
                <w:color w:val="000000"/>
              </w:rPr>
              <w:t xml:space="preserve">… ein (Kalender-)Quartal, egal, wie oft der Patient kommt und egal, mit welchen Erkrankungen. </w:t>
            </w:r>
          </w:p>
          <w:p w14:paraId="00B0A367" w14:textId="77777777" w:rsidR="00830035" w:rsidRPr="00830035" w:rsidRDefault="00830035" w:rsidP="00830035">
            <w:pPr>
              <w:rPr>
                <w:rFonts w:ascii="Arial" w:hAnsi="Arial" w:cs="Arial"/>
                <w:bCs/>
                <w:color w:val="000000"/>
              </w:rPr>
            </w:pPr>
            <w:r w:rsidRPr="00830035">
              <w:rPr>
                <w:rFonts w:ascii="Arial" w:hAnsi="Arial" w:cs="Arial"/>
                <w:bCs/>
                <w:color w:val="000000"/>
              </w:rPr>
              <w:t>Sobald das Quartal wechselt, beginnt ein neuer BHF, egal, ob der Patient z. B. am 30.03. und gleich wieder am 01.04. behandelt wird.</w:t>
            </w:r>
          </w:p>
        </w:tc>
      </w:tr>
    </w:tbl>
    <w:p w14:paraId="252A72B2" w14:textId="77777777" w:rsidR="00830035" w:rsidRDefault="00830035" w:rsidP="00ED2BFA">
      <w:pPr>
        <w:rPr>
          <w:rFonts w:ascii="Arial" w:hAnsi="Arial" w:cs="Arial"/>
          <w:color w:val="000000"/>
        </w:rPr>
      </w:pPr>
    </w:p>
    <w:sectPr w:rsidR="00830035" w:rsidSect="00E55510">
      <w:footerReference w:type="default" r:id="rId8"/>
      <w:pgSz w:w="11906" w:h="16838"/>
      <w:pgMar w:top="1134" w:right="1417" w:bottom="1702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13C9F5EA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901AE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498"/>
    <w:multiLevelType w:val="hybridMultilevel"/>
    <w:tmpl w:val="01686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BA2241"/>
    <w:multiLevelType w:val="hybridMultilevel"/>
    <w:tmpl w:val="C384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6"/>
  </w:num>
  <w:num w:numId="5" w16cid:durableId="1588537969">
    <w:abstractNumId w:val="46"/>
  </w:num>
  <w:num w:numId="6" w16cid:durableId="260920476">
    <w:abstractNumId w:val="3"/>
  </w:num>
  <w:num w:numId="7" w16cid:durableId="1182429349">
    <w:abstractNumId w:val="14"/>
  </w:num>
  <w:num w:numId="8" w16cid:durableId="1010260152">
    <w:abstractNumId w:val="33"/>
  </w:num>
  <w:num w:numId="9" w16cid:durableId="445925824">
    <w:abstractNumId w:val="24"/>
  </w:num>
  <w:num w:numId="10" w16cid:durableId="1640957786">
    <w:abstractNumId w:val="8"/>
  </w:num>
  <w:num w:numId="11" w16cid:durableId="1380325484">
    <w:abstractNumId w:val="38"/>
  </w:num>
  <w:num w:numId="12" w16cid:durableId="595942327">
    <w:abstractNumId w:val="41"/>
  </w:num>
  <w:num w:numId="13" w16cid:durableId="395322060">
    <w:abstractNumId w:val="4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1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9"/>
  </w:num>
  <w:num w:numId="28" w16cid:durableId="1185706464">
    <w:abstractNumId w:val="42"/>
  </w:num>
  <w:num w:numId="29" w16cid:durableId="1659728008">
    <w:abstractNumId w:val="35"/>
  </w:num>
  <w:num w:numId="30" w16cid:durableId="572542196">
    <w:abstractNumId w:val="19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40"/>
  </w:num>
  <w:num w:numId="35" w16cid:durableId="677853825">
    <w:abstractNumId w:val="34"/>
  </w:num>
  <w:num w:numId="36" w16cid:durableId="1131747035">
    <w:abstractNumId w:val="21"/>
  </w:num>
  <w:num w:numId="37" w16cid:durableId="1960994142">
    <w:abstractNumId w:val="31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7"/>
  </w:num>
  <w:num w:numId="42" w16cid:durableId="383454912">
    <w:abstractNumId w:val="30"/>
  </w:num>
  <w:num w:numId="43" w16cid:durableId="820778254">
    <w:abstractNumId w:val="7"/>
  </w:num>
  <w:num w:numId="44" w16cid:durableId="1885287902">
    <w:abstractNumId w:val="32"/>
  </w:num>
  <w:num w:numId="45" w16cid:durableId="1193614051">
    <w:abstractNumId w:val="10"/>
  </w:num>
  <w:num w:numId="46" w16cid:durableId="616957603">
    <w:abstractNumId w:val="28"/>
  </w:num>
  <w:num w:numId="47" w16cid:durableId="184932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33FF1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3EC9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E57A0"/>
    <w:rsid w:val="006F0C8B"/>
    <w:rsid w:val="00701CA8"/>
    <w:rsid w:val="00702AFB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30035"/>
    <w:rsid w:val="0085537C"/>
    <w:rsid w:val="008846BE"/>
    <w:rsid w:val="00886D3E"/>
    <w:rsid w:val="008B3F92"/>
    <w:rsid w:val="008F11D5"/>
    <w:rsid w:val="00905100"/>
    <w:rsid w:val="009901AE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70635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55510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C6785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9901AE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9901AE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9901AE"/>
    <w:rPr>
      <w:rFonts w:eastAsia="Calibri"/>
      <w:sz w:val="18"/>
      <w:szCs w:val="18"/>
      <w:lang w:eastAsia="en-US"/>
    </w:rPr>
  </w:style>
  <w:style w:type="paragraph" w:customStyle="1" w:styleId="Vorspann">
    <w:name w:val="#Vorspann"/>
    <w:basedOn w:val="Standard"/>
    <w:qFormat/>
    <w:rsid w:val="00B70635"/>
    <w:pPr>
      <w:spacing w:after="120"/>
      <w:jc w:val="both"/>
    </w:pPr>
    <w:rPr>
      <w:rFonts w:ascii="Calibri" w:eastAsia="Calibri" w:hAnsi="Calibri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B70635"/>
    <w:pPr>
      <w:numPr>
        <w:numId w:val="45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B70635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paragraph" w:customStyle="1" w:styleId="MFASubheadline">
    <w:name w:val="MFA Subheadline"/>
    <w:basedOn w:val="Standard"/>
    <w:qFormat/>
    <w:rsid w:val="00B70635"/>
    <w:rPr>
      <w:rFonts w:ascii="Calibri" w:eastAsia="Calibri" w:hAnsi="Calibri"/>
      <w:b/>
      <w:bCs/>
      <w:color w:val="66B9A6"/>
      <w:sz w:val="19"/>
      <w:szCs w:val="19"/>
      <w:lang w:eastAsia="en-US"/>
    </w:rPr>
  </w:style>
  <w:style w:type="character" w:customStyle="1" w:styleId="Schreibschrift">
    <w:name w:val="#Schreibschrift"/>
    <w:uiPriority w:val="1"/>
    <w:qFormat/>
    <w:rsid w:val="003E3EC9"/>
    <w:rPr>
      <w:rFonts w:ascii="Bradley Hand" w:hAnsi="Bradley Hand"/>
      <w:color w:val="0091BA"/>
    </w:rPr>
  </w:style>
  <w:style w:type="paragraph" w:customStyle="1" w:styleId="TableHead">
    <w:name w:val="Table Head"/>
    <w:basedOn w:val="Standard"/>
    <w:qFormat/>
    <w:rsid w:val="0083003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Vorspann"/>
    <w:qFormat/>
    <w:rsid w:val="00830035"/>
    <w:rPr>
      <w:b/>
      <w:bCs/>
      <w:color w:val="DA4F46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BC46C-1A85-4314-9D09-FE877EC14EC3}"/>
</file>

<file path=customXml/itemProps3.xml><?xml version="1.0" encoding="utf-8"?>
<ds:datastoreItem xmlns:ds="http://schemas.openxmlformats.org/officeDocument/2006/customXml" ds:itemID="{697F023B-9987-4F81-AAE7-C9AB58B1B395}"/>
</file>

<file path=customXml/itemProps4.xml><?xml version="1.0" encoding="utf-8"?>
<ds:datastoreItem xmlns:ds="http://schemas.openxmlformats.org/officeDocument/2006/customXml" ds:itemID="{7135A7F5-E203-4D66-9DAA-52A2D780A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2023-03-28T10:01:00Z</dcterms:created>
  <dcterms:modified xsi:type="dcterms:W3CDTF">2023-03-28T10:01:00Z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