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50DAD3D0" w:rsidR="00C53089" w:rsidRPr="00E475C4" w:rsidRDefault="00834523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834523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Zweitmeinungsverfahren (Allgemein)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0C2C5058" w:rsidR="00C53089" w:rsidRPr="002A2E77" w:rsidRDefault="0083452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17F4F7A1" w14:textId="77777777" w:rsidR="00D00DA5" w:rsidRDefault="00D00DA5" w:rsidP="00ED2BFA">
      <w:pPr>
        <w:rPr>
          <w:rFonts w:ascii="Arial" w:hAnsi="Arial" w:cs="Arial"/>
        </w:rPr>
      </w:pPr>
    </w:p>
    <w:p w14:paraId="063C5411" w14:textId="77777777" w:rsidR="00834523" w:rsidRDefault="00834523" w:rsidP="00ED2BFA">
      <w:pPr>
        <w:rPr>
          <w:rFonts w:ascii="Arial" w:hAnsi="Arial" w:cs="Arial"/>
        </w:rPr>
      </w:pPr>
    </w:p>
    <w:tbl>
      <w:tblPr>
        <w:tblW w:w="47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2235"/>
        <w:gridCol w:w="5103"/>
        <w:gridCol w:w="1701"/>
      </w:tblGrid>
      <w:tr w:rsidR="00834523" w:rsidRPr="00834523" w14:paraId="7790859B" w14:textId="77777777" w:rsidTr="00834523">
        <w:trPr>
          <w:trHeight w:val="397"/>
          <w:jc w:val="center"/>
        </w:trPr>
        <w:tc>
          <w:tcPr>
            <w:tcW w:w="1236" w:type="pct"/>
            <w:shd w:val="clear" w:color="auto" w:fill="0098BB"/>
            <w:vAlign w:val="center"/>
          </w:tcPr>
          <w:p w14:paraId="0FEF01B7" w14:textId="77777777" w:rsidR="00834523" w:rsidRPr="00834523" w:rsidRDefault="00834523" w:rsidP="0083452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34523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2823" w:type="pct"/>
            <w:shd w:val="clear" w:color="auto" w:fill="0098BB"/>
            <w:vAlign w:val="center"/>
          </w:tcPr>
          <w:p w14:paraId="5F217529" w14:textId="77777777" w:rsidR="00834523" w:rsidRPr="00834523" w:rsidRDefault="00834523" w:rsidP="0083452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34523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941" w:type="pct"/>
            <w:shd w:val="clear" w:color="auto" w:fill="0098BB"/>
            <w:vAlign w:val="center"/>
          </w:tcPr>
          <w:p w14:paraId="2198A221" w14:textId="77777777" w:rsidR="00834523" w:rsidRPr="00834523" w:rsidRDefault="00834523" w:rsidP="0083452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34523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834523" w:rsidRPr="00834523" w14:paraId="1C46963C" w14:textId="77777777" w:rsidTr="00834523">
        <w:trPr>
          <w:trHeight w:val="397"/>
          <w:jc w:val="center"/>
        </w:trPr>
        <w:tc>
          <w:tcPr>
            <w:tcW w:w="1236" w:type="pct"/>
            <w:shd w:val="clear" w:color="auto" w:fill="auto"/>
            <w:vAlign w:val="center"/>
          </w:tcPr>
          <w:p w14:paraId="7E627F4B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  <w:r w:rsidRPr="00834523">
              <w:rPr>
                <w:rFonts w:ascii="Arial" w:hAnsi="Arial" w:cs="Arial"/>
                <w:color w:val="000000"/>
              </w:rPr>
              <w:t>01645</w:t>
            </w:r>
          </w:p>
          <w:p w14:paraId="23BA6758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  <w:r w:rsidRPr="00834523">
              <w:rPr>
                <w:rFonts w:ascii="Arial" w:hAnsi="Arial" w:cs="Arial"/>
                <w:color w:val="000000"/>
              </w:rPr>
              <w:t>+ Kennzeichnung der jeweiligen OP (A–I)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411B61A0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  <w:r w:rsidRPr="00834523">
              <w:rPr>
                <w:rFonts w:ascii="Arial" w:hAnsi="Arial" w:cs="Arial"/>
                <w:color w:val="000000"/>
              </w:rPr>
              <w:t>„Erstmeiner“ = indikationsstellender Arzt</w:t>
            </w:r>
          </w:p>
          <w:p w14:paraId="527D1BFA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  <w:r w:rsidRPr="00834523">
              <w:rPr>
                <w:rFonts w:ascii="Arial" w:hAnsi="Arial" w:cs="Arial"/>
                <w:color w:val="000000"/>
              </w:rPr>
              <w:t>Für die Aufklärung und Beratung im Zusammenhang mit dem ärztlichen Zweitmeinungsverfahren</w:t>
            </w:r>
          </w:p>
          <w:p w14:paraId="24A73265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  <w:r w:rsidRPr="00834523">
              <w:rPr>
                <w:rFonts w:ascii="Arial" w:hAnsi="Arial" w:cs="Arial"/>
                <w:color w:val="000000"/>
              </w:rPr>
              <w:t>1 x im Krankheitsfall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D4507BC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  <w:r w:rsidRPr="00834523">
              <w:rPr>
                <w:rFonts w:ascii="Arial" w:hAnsi="Arial" w:cs="Arial"/>
                <w:color w:val="000000"/>
              </w:rPr>
              <w:t>8,62 €</w:t>
            </w:r>
          </w:p>
        </w:tc>
      </w:tr>
      <w:tr w:rsidR="00834523" w:rsidRPr="00834523" w14:paraId="2139CC0C" w14:textId="77777777" w:rsidTr="00834523">
        <w:trPr>
          <w:trHeight w:val="397"/>
          <w:jc w:val="center"/>
        </w:trPr>
        <w:tc>
          <w:tcPr>
            <w:tcW w:w="1236" w:type="pct"/>
            <w:shd w:val="clear" w:color="auto" w:fill="auto"/>
            <w:vAlign w:val="center"/>
          </w:tcPr>
          <w:p w14:paraId="5AFE3497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  <w:r w:rsidRPr="00834523">
              <w:rPr>
                <w:rFonts w:ascii="Arial" w:hAnsi="Arial" w:cs="Arial"/>
                <w:color w:val="000000"/>
              </w:rPr>
              <w:t xml:space="preserve">88200 + Kennzeichnung der jeweiligen OP 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53478EB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  <w:r w:rsidRPr="00834523">
              <w:rPr>
                <w:rFonts w:ascii="Arial" w:hAnsi="Arial" w:cs="Arial"/>
                <w:color w:val="000000"/>
              </w:rPr>
              <w:t>„Zweitmeiner“: Die Abrechnung der Zweitmeinung ist im neuen Abschnitt 4.3.9 „Ärztliche Zweitmeinung“ im Allgemeinen Teil des EBM geregelt:</w:t>
            </w:r>
          </w:p>
          <w:p w14:paraId="290FB713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  <w:r w:rsidRPr="00834523">
              <w:rPr>
                <w:rFonts w:ascii="Arial" w:hAnsi="Arial" w:cs="Arial"/>
                <w:color w:val="000000"/>
              </w:rPr>
              <w:t xml:space="preserve">Der „Zweitmeiner“ rechnet für den Patienten seine jeweilige arztgruppenspezifische Versicherten-, Grund- oder </w:t>
            </w:r>
            <w:proofErr w:type="spellStart"/>
            <w:r w:rsidRPr="00834523">
              <w:rPr>
                <w:rFonts w:ascii="Arial" w:hAnsi="Arial" w:cs="Arial"/>
                <w:color w:val="000000"/>
              </w:rPr>
              <w:t>Konsiliarpauschale</w:t>
            </w:r>
            <w:proofErr w:type="spellEnd"/>
            <w:r w:rsidRPr="00834523">
              <w:rPr>
                <w:rFonts w:ascii="Arial" w:hAnsi="Arial" w:cs="Arial"/>
                <w:color w:val="000000"/>
              </w:rPr>
              <w:t xml:space="preserve"> ab. Sind für Ihre Beurteilung ergänzende Untersuchungen notwendig, kann er sie ebenfalls durchführen, muss sie aber medizinisch begründen.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AEF165D" w14:textId="77777777" w:rsidR="00834523" w:rsidRPr="00834523" w:rsidRDefault="00834523" w:rsidP="0083452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D29BDD3" w14:textId="77777777" w:rsidR="00834523" w:rsidRPr="00ED2BFA" w:rsidRDefault="00834523" w:rsidP="00ED2BFA">
      <w:pPr>
        <w:rPr>
          <w:rFonts w:ascii="Arial" w:hAnsi="Arial" w:cs="Arial"/>
        </w:rPr>
      </w:pPr>
    </w:p>
    <w:sectPr w:rsidR="00834523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34523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83452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83452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34523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0DA50-909E-454B-A883-8B503279BD66}"/>
</file>

<file path=customXml/itemProps3.xml><?xml version="1.0" encoding="utf-8"?>
<ds:datastoreItem xmlns:ds="http://schemas.openxmlformats.org/officeDocument/2006/customXml" ds:itemID="{2425223B-72E4-49D6-BA78-6ECC250A7D2E}"/>
</file>

<file path=customXml/itemProps4.xml><?xml version="1.0" encoding="utf-8"?>
<ds:datastoreItem xmlns:ds="http://schemas.openxmlformats.org/officeDocument/2006/customXml" ds:itemID="{6FE3F600-0F86-49B4-BB37-4E1DF1797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2023-07-25T10:19:00Z</dcterms:created>
  <dcterms:modified xsi:type="dcterms:W3CDTF">2023-07-25T10:19:00Z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