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insideH w:val="single" w:sz="18" w:space="0" w:color="0098BB"/>
          <w:insideV w:val="single" w:sz="18" w:space="0" w:color="0098BB"/>
        </w:tblBorders>
        <w:tblLook w:val="04A0" w:firstRow="1" w:lastRow="0" w:firstColumn="1" w:lastColumn="0" w:noHBand="0" w:noVBand="1"/>
      </w:tblPr>
      <w:tblGrid>
        <w:gridCol w:w="8575"/>
      </w:tblGrid>
      <w:tr w:rsidR="00C53089" w14:paraId="06073017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6" w14:textId="17D16D8F" w:rsidR="00C53089" w:rsidRPr="000D04F8" w:rsidRDefault="00337B9C" w:rsidP="002A2E77">
            <w:pPr>
              <w:pStyle w:val="Kopfzeile"/>
              <w:jc w:val="center"/>
              <w:rPr>
                <w:rFonts w:ascii="Arial" w:hAnsi="Arial" w:cs="Arial"/>
                <w:b/>
                <w:color w:val="A39863"/>
                <w:sz w:val="28"/>
                <w:lang w:val="de-DE"/>
              </w:rPr>
            </w:pPr>
            <w:r w:rsidRPr="00337B9C">
              <w:rPr>
                <w:rFonts w:ascii="Arial" w:hAnsi="Arial" w:cs="Arial"/>
                <w:b/>
                <w:color w:val="A39863"/>
                <w:sz w:val="32"/>
              </w:rPr>
              <w:t>Früherkennungsmaßnahmen bei GKV-Patienten</w:t>
            </w:r>
          </w:p>
        </w:tc>
      </w:tr>
      <w:tr w:rsidR="00C53089" w14:paraId="06073019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8" w14:textId="38B4790C" w:rsidR="00C53089" w:rsidRPr="002A2E77" w:rsidRDefault="004A5F57" w:rsidP="002A2E77">
            <w:pPr>
              <w:pStyle w:val="Kopfzeile"/>
              <w:jc w:val="center"/>
              <w:rPr>
                <w:rFonts w:ascii="Arial" w:hAnsi="Arial" w:cs="Arial"/>
                <w:b/>
                <w:sz w:val="28"/>
                <w:lang w:val="de-DE"/>
              </w:rPr>
            </w:pPr>
            <w:r>
              <w:rPr>
                <w:rFonts w:ascii="Arial" w:hAnsi="Arial" w:cs="Arial"/>
                <w:b/>
                <w:sz w:val="28"/>
                <w:lang w:val="de-DE"/>
              </w:rPr>
              <w:t>Übersicht</w:t>
            </w:r>
          </w:p>
        </w:tc>
      </w:tr>
    </w:tbl>
    <w:p w14:paraId="24A568C1" w14:textId="77777777" w:rsidR="00337B9C" w:rsidRDefault="00337B9C" w:rsidP="00ED2BFA">
      <w:pPr>
        <w:rPr>
          <w:rFonts w:ascii="Arial" w:hAnsi="Arial" w:cs="Arial"/>
          <w:bCs/>
          <w:color w:val="000000"/>
        </w:rPr>
      </w:pPr>
    </w:p>
    <w:tbl>
      <w:tblPr>
        <w:tblW w:w="5561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85" w:type="dxa"/>
        </w:tblCellMar>
        <w:tblLook w:val="04A0" w:firstRow="1" w:lastRow="0" w:firstColumn="1" w:lastColumn="0" w:noHBand="0" w:noVBand="1"/>
      </w:tblPr>
      <w:tblGrid>
        <w:gridCol w:w="990"/>
        <w:gridCol w:w="9497"/>
      </w:tblGrid>
      <w:tr w:rsidR="00337B9C" w:rsidRPr="00337B9C" w14:paraId="5F97B1D4" w14:textId="77777777" w:rsidTr="00337B9C">
        <w:trPr>
          <w:trHeight w:val="397"/>
          <w:jc w:val="center"/>
        </w:trPr>
        <w:tc>
          <w:tcPr>
            <w:tcW w:w="472" w:type="pct"/>
            <w:shd w:val="clear" w:color="auto" w:fill="0098BB"/>
            <w:vAlign w:val="center"/>
          </w:tcPr>
          <w:p w14:paraId="74691D80" w14:textId="77777777" w:rsidR="00337B9C" w:rsidRPr="00337B9C" w:rsidRDefault="00337B9C" w:rsidP="00337B9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Alter in Jahren</w:t>
            </w:r>
          </w:p>
        </w:tc>
        <w:tc>
          <w:tcPr>
            <w:tcW w:w="4528" w:type="pct"/>
            <w:shd w:val="clear" w:color="auto" w:fill="0098BB"/>
            <w:vAlign w:val="center"/>
          </w:tcPr>
          <w:p w14:paraId="7F9DB0E1" w14:textId="77777777" w:rsidR="00337B9C" w:rsidRPr="00337B9C" w:rsidRDefault="00337B9C" w:rsidP="00337B9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Art der Früherkennungsmaßnahme</w:t>
            </w:r>
          </w:p>
        </w:tc>
      </w:tr>
      <w:tr w:rsidR="00337B9C" w:rsidRPr="00337B9C" w14:paraId="3904CF89" w14:textId="77777777" w:rsidTr="00337B9C">
        <w:trPr>
          <w:trHeight w:val="397"/>
          <w:jc w:val="center"/>
        </w:trPr>
        <w:tc>
          <w:tcPr>
            <w:tcW w:w="5000" w:type="pct"/>
            <w:gridSpan w:val="2"/>
            <w:shd w:val="clear" w:color="auto" w:fill="0098BB"/>
            <w:vAlign w:val="center"/>
          </w:tcPr>
          <w:p w14:paraId="598E093A" w14:textId="77777777" w:rsidR="00337B9C" w:rsidRPr="00337B9C" w:rsidRDefault="00337B9C" w:rsidP="00337B9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Vorsorge bei Frauen</w:t>
            </w:r>
          </w:p>
        </w:tc>
      </w:tr>
      <w:tr w:rsidR="00337B9C" w:rsidRPr="00337B9C" w14:paraId="6E40C222" w14:textId="77777777" w:rsidTr="00337B9C">
        <w:trPr>
          <w:trHeight w:val="397"/>
          <w:jc w:val="center"/>
        </w:trPr>
        <w:tc>
          <w:tcPr>
            <w:tcW w:w="472" w:type="pct"/>
            <w:shd w:val="clear" w:color="auto" w:fill="FFFFFF"/>
            <w:vAlign w:val="center"/>
          </w:tcPr>
          <w:p w14:paraId="089A8FF7" w14:textId="77777777" w:rsidR="00337B9C" w:rsidRPr="00337B9C" w:rsidRDefault="00337B9C" w:rsidP="00337B9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20−34</w:t>
            </w:r>
          </w:p>
        </w:tc>
        <w:tc>
          <w:tcPr>
            <w:tcW w:w="4528" w:type="pct"/>
            <w:shd w:val="clear" w:color="auto" w:fill="FFFFFF"/>
            <w:vAlign w:val="center"/>
          </w:tcPr>
          <w:p w14:paraId="2C91BE5D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jährlich:</w:t>
            </w: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Beratung + gynäkologische Untersuchung + Abstrich und Untersuchung auf Zellveränderung (</w:t>
            </w:r>
            <w:proofErr w:type="spellStart"/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Pap</w:t>
            </w:r>
            <w:proofErr w:type="spellEnd"/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-Abstrich) </w:t>
            </w:r>
          </w:p>
        </w:tc>
      </w:tr>
      <w:tr w:rsidR="00337B9C" w:rsidRPr="00337B9C" w14:paraId="6EE3A4F7" w14:textId="77777777" w:rsidTr="00337B9C">
        <w:trPr>
          <w:trHeight w:val="397"/>
          <w:jc w:val="center"/>
        </w:trPr>
        <w:tc>
          <w:tcPr>
            <w:tcW w:w="472" w:type="pct"/>
            <w:shd w:val="clear" w:color="auto" w:fill="FFFFFF"/>
            <w:vAlign w:val="center"/>
          </w:tcPr>
          <w:p w14:paraId="45649613" w14:textId="77777777" w:rsidR="00337B9C" w:rsidRPr="00337B9C" w:rsidRDefault="00337B9C" w:rsidP="00337B9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ab 35</w:t>
            </w:r>
          </w:p>
        </w:tc>
        <w:tc>
          <w:tcPr>
            <w:tcW w:w="4528" w:type="pct"/>
            <w:shd w:val="clear" w:color="auto" w:fill="FFFFFF"/>
            <w:vAlign w:val="center"/>
          </w:tcPr>
          <w:p w14:paraId="3EDE3D54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alle 3 Jahre: </w:t>
            </w: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Beratung + gynäkologische Untersuchung + </w:t>
            </w:r>
            <w:proofErr w:type="spellStart"/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Pap</w:t>
            </w:r>
            <w:proofErr w:type="spellEnd"/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-Abstrich, kombiniert mit Test auf HPV</w:t>
            </w:r>
          </w:p>
        </w:tc>
      </w:tr>
      <w:tr w:rsidR="00337B9C" w:rsidRPr="00337B9C" w14:paraId="0D60EF14" w14:textId="77777777" w:rsidTr="00337B9C">
        <w:trPr>
          <w:trHeight w:val="397"/>
          <w:jc w:val="center"/>
        </w:trPr>
        <w:tc>
          <w:tcPr>
            <w:tcW w:w="472" w:type="pct"/>
            <w:shd w:val="clear" w:color="auto" w:fill="FFFFFF"/>
            <w:vAlign w:val="center"/>
          </w:tcPr>
          <w:p w14:paraId="2E3C95B0" w14:textId="77777777" w:rsidR="00337B9C" w:rsidRPr="00337B9C" w:rsidRDefault="00337B9C" w:rsidP="00337B9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ab 30</w:t>
            </w:r>
          </w:p>
        </w:tc>
        <w:tc>
          <w:tcPr>
            <w:tcW w:w="4528" w:type="pct"/>
            <w:shd w:val="clear" w:color="auto" w:fill="FFFFFF"/>
            <w:vAlign w:val="center"/>
          </w:tcPr>
          <w:p w14:paraId="65474173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Früherkennung zur Brustkrebsvorsorge (jährlich):</w:t>
            </w:r>
          </w:p>
          <w:p w14:paraId="79A6C1AC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Abtasten der Brust und der örtlichen Lymphknoten (Achselhöhlen) und Anleitung zur Selbstuntersuchung der Brust</w:t>
            </w:r>
          </w:p>
        </w:tc>
      </w:tr>
      <w:tr w:rsidR="00337B9C" w:rsidRPr="00337B9C" w14:paraId="5C3C9017" w14:textId="77777777" w:rsidTr="00337B9C">
        <w:trPr>
          <w:trHeight w:val="397"/>
          <w:jc w:val="center"/>
        </w:trPr>
        <w:tc>
          <w:tcPr>
            <w:tcW w:w="472" w:type="pct"/>
            <w:shd w:val="clear" w:color="auto" w:fill="FFFFFF"/>
            <w:vAlign w:val="center"/>
          </w:tcPr>
          <w:p w14:paraId="5AC09507" w14:textId="77777777" w:rsidR="00337B9C" w:rsidRPr="00337B9C" w:rsidRDefault="00337B9C" w:rsidP="00337B9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ab 50</w:t>
            </w:r>
          </w:p>
        </w:tc>
        <w:tc>
          <w:tcPr>
            <w:tcW w:w="4528" w:type="pct"/>
            <w:shd w:val="clear" w:color="auto" w:fill="FFFFFF"/>
            <w:vAlign w:val="center"/>
          </w:tcPr>
          <w:p w14:paraId="29220151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Mammografie-Screening:</w:t>
            </w:r>
          </w:p>
          <w:p w14:paraId="189936C0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- alle 2 Jahre bis zum Ende des 70.</w:t>
            </w: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Lebensjahres (Die Patientinnen werden per Post zur Untersuchung eingeladen.)</w:t>
            </w:r>
          </w:p>
          <w:p w14:paraId="48D631AD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- gezielte Anamnese, Röntgenuntersuchung (Mammografie-Screening) der Brust und Information über das Untersuchungsergebnis</w:t>
            </w:r>
          </w:p>
        </w:tc>
      </w:tr>
      <w:tr w:rsidR="00337B9C" w:rsidRPr="00337B9C" w14:paraId="5D0C4FAC" w14:textId="77777777" w:rsidTr="00337B9C">
        <w:trPr>
          <w:trHeight w:val="397"/>
          <w:jc w:val="center"/>
        </w:trPr>
        <w:tc>
          <w:tcPr>
            <w:tcW w:w="472" w:type="pct"/>
            <w:shd w:val="clear" w:color="auto" w:fill="FFFFFF"/>
            <w:vAlign w:val="center"/>
          </w:tcPr>
          <w:p w14:paraId="1A709ED2" w14:textId="77777777" w:rsidR="00337B9C" w:rsidRPr="00337B9C" w:rsidRDefault="00337B9C" w:rsidP="00337B9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ab 50</w:t>
            </w:r>
          </w:p>
        </w:tc>
        <w:tc>
          <w:tcPr>
            <w:tcW w:w="4528" w:type="pct"/>
            <w:shd w:val="clear" w:color="auto" w:fill="FFFFFF"/>
            <w:vAlign w:val="center"/>
          </w:tcPr>
          <w:p w14:paraId="6D89974F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Früherkennung Darmkrebs – Darmkrebs-Screening: Beratung zum Darmkrebs-Früherkennungsprogramm</w:t>
            </w:r>
          </w:p>
          <w:p w14:paraId="527E944E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50–54 Jahre: jährlicher Test auf nicht sichtbares (okkultes) Blut im Stuhl</w:t>
            </w:r>
          </w:p>
        </w:tc>
      </w:tr>
      <w:tr w:rsidR="00337B9C" w:rsidRPr="00337B9C" w14:paraId="118B2E8A" w14:textId="77777777" w:rsidTr="00337B9C">
        <w:trPr>
          <w:trHeight w:val="397"/>
          <w:jc w:val="center"/>
        </w:trPr>
        <w:tc>
          <w:tcPr>
            <w:tcW w:w="472" w:type="pct"/>
            <w:shd w:val="clear" w:color="auto" w:fill="FFFFFF"/>
            <w:vAlign w:val="center"/>
          </w:tcPr>
          <w:p w14:paraId="3C59636F" w14:textId="77777777" w:rsidR="00337B9C" w:rsidRPr="00337B9C" w:rsidRDefault="00337B9C" w:rsidP="00337B9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ab 55</w:t>
            </w:r>
          </w:p>
        </w:tc>
        <w:tc>
          <w:tcPr>
            <w:tcW w:w="4528" w:type="pct"/>
            <w:shd w:val="clear" w:color="auto" w:fill="FFFFFF"/>
            <w:vAlign w:val="center"/>
          </w:tcPr>
          <w:p w14:paraId="4C486D05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Früherkennung Darmkrebs – Darmkrebs-Screening: wahlweise alle 2 Jahre Test auf nicht sichtbares (okkultes) Blut im Stuhl oder 2 Darmspiegelungen im Mindestabstand von 10 Jahren</w:t>
            </w:r>
          </w:p>
        </w:tc>
      </w:tr>
      <w:tr w:rsidR="00337B9C" w:rsidRPr="00337B9C" w14:paraId="42BC9ACB" w14:textId="77777777" w:rsidTr="00337B9C">
        <w:trPr>
          <w:trHeight w:val="397"/>
          <w:jc w:val="center"/>
        </w:trPr>
        <w:tc>
          <w:tcPr>
            <w:tcW w:w="5000" w:type="pct"/>
            <w:gridSpan w:val="2"/>
            <w:shd w:val="clear" w:color="auto" w:fill="0098BB"/>
            <w:vAlign w:val="center"/>
          </w:tcPr>
          <w:p w14:paraId="23850FD1" w14:textId="77777777" w:rsidR="00337B9C" w:rsidRPr="00337B9C" w:rsidRDefault="00337B9C" w:rsidP="00337B9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Vorsorge bei Männern</w:t>
            </w:r>
          </w:p>
        </w:tc>
      </w:tr>
      <w:tr w:rsidR="00337B9C" w:rsidRPr="00337B9C" w14:paraId="3B66323B" w14:textId="77777777" w:rsidTr="00337B9C">
        <w:trPr>
          <w:trHeight w:val="397"/>
          <w:jc w:val="center"/>
        </w:trPr>
        <w:tc>
          <w:tcPr>
            <w:tcW w:w="472" w:type="pct"/>
            <w:shd w:val="clear" w:color="auto" w:fill="FFFFFF"/>
            <w:vAlign w:val="center"/>
          </w:tcPr>
          <w:p w14:paraId="588B3DBA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ab 45</w:t>
            </w:r>
          </w:p>
        </w:tc>
        <w:tc>
          <w:tcPr>
            <w:tcW w:w="4528" w:type="pct"/>
            <w:shd w:val="clear" w:color="auto" w:fill="FFFFFF"/>
            <w:vAlign w:val="center"/>
          </w:tcPr>
          <w:p w14:paraId="70CBFC8F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jährlich: Krebsvorsorge zur Früherkennung von Krebserkrankungen der Prostata und der äußeren Geschlechtsorgane </w:t>
            </w:r>
          </w:p>
          <w:p w14:paraId="5CA4DAAE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Anamnese, Inspektion und Abtasten der äußeren Geschlechtsorgane und Enddarmaustastung zur Untersuchung der Prostata, Untersuchung örtlicher Lymphknoten und Beratung zum Untersuchungsergebnis</w:t>
            </w:r>
          </w:p>
        </w:tc>
      </w:tr>
      <w:tr w:rsidR="00337B9C" w:rsidRPr="00337B9C" w14:paraId="762941C5" w14:textId="77777777" w:rsidTr="00337B9C">
        <w:trPr>
          <w:trHeight w:val="397"/>
          <w:jc w:val="center"/>
        </w:trPr>
        <w:tc>
          <w:tcPr>
            <w:tcW w:w="472" w:type="pct"/>
            <w:shd w:val="clear" w:color="auto" w:fill="FFFFFF"/>
            <w:vAlign w:val="center"/>
          </w:tcPr>
          <w:p w14:paraId="5AA1E649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ab 50</w:t>
            </w:r>
          </w:p>
        </w:tc>
        <w:tc>
          <w:tcPr>
            <w:tcW w:w="4528" w:type="pct"/>
            <w:shd w:val="clear" w:color="auto" w:fill="FFFFFF"/>
            <w:vAlign w:val="center"/>
          </w:tcPr>
          <w:p w14:paraId="100C6B18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Früherkennung Darmkrebs – Darmkrebs-Screening: Beratung zum Darmkrebs-Früherkennungsprogramm</w:t>
            </w:r>
          </w:p>
          <w:p w14:paraId="477532C3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50–54 Jahre: jährlicher Test auf nicht sichtbares (okkultes) Blut im Stuhl oder ab 50 Jahre: 2 Darmspiegelungen im Mindestabstand von 10 Jahren</w:t>
            </w:r>
          </w:p>
        </w:tc>
      </w:tr>
      <w:tr w:rsidR="00337B9C" w:rsidRPr="00337B9C" w14:paraId="68186887" w14:textId="77777777" w:rsidTr="00337B9C">
        <w:trPr>
          <w:trHeight w:val="397"/>
          <w:jc w:val="center"/>
        </w:trPr>
        <w:tc>
          <w:tcPr>
            <w:tcW w:w="472" w:type="pct"/>
            <w:shd w:val="clear" w:color="auto" w:fill="FFFFFF"/>
            <w:vAlign w:val="center"/>
          </w:tcPr>
          <w:p w14:paraId="27CD2817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ab 55</w:t>
            </w:r>
          </w:p>
        </w:tc>
        <w:tc>
          <w:tcPr>
            <w:tcW w:w="4528" w:type="pct"/>
            <w:shd w:val="clear" w:color="auto" w:fill="FFFFFF"/>
            <w:vAlign w:val="center"/>
          </w:tcPr>
          <w:p w14:paraId="0487C836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Früherkennung Darmkrebs – Darmkrebs-Screening: wahlweise alle 2 Jahre Test auf nicht sichtbares (okkultes) Blut im Stuhl oder 2 Darmspiegelungen im Mindestabstand von 10 Jahren</w:t>
            </w:r>
          </w:p>
        </w:tc>
      </w:tr>
      <w:tr w:rsidR="00337B9C" w:rsidRPr="00337B9C" w14:paraId="7B024E43" w14:textId="77777777" w:rsidTr="00337B9C">
        <w:trPr>
          <w:trHeight w:val="397"/>
          <w:jc w:val="center"/>
        </w:trPr>
        <w:tc>
          <w:tcPr>
            <w:tcW w:w="472" w:type="pct"/>
            <w:shd w:val="clear" w:color="auto" w:fill="FFFFFF"/>
            <w:vAlign w:val="center"/>
          </w:tcPr>
          <w:p w14:paraId="0B6EE3A1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ab 65</w:t>
            </w:r>
          </w:p>
        </w:tc>
        <w:tc>
          <w:tcPr>
            <w:tcW w:w="4528" w:type="pct"/>
            <w:shd w:val="clear" w:color="auto" w:fill="FFFFFF"/>
            <w:vAlign w:val="center"/>
          </w:tcPr>
          <w:p w14:paraId="24520E7B" w14:textId="354AC2B3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Bauchaorta-Screening (einmalig): Patientenaufklärung zur Früherkennungsuntersuchung auf Bauchaortenaneurysmen;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Ultraschalluntersuchung der Bauchschlagader</w:t>
            </w:r>
          </w:p>
        </w:tc>
      </w:tr>
      <w:tr w:rsidR="00337B9C" w:rsidRPr="00337B9C" w14:paraId="54C3EFE3" w14:textId="77777777" w:rsidTr="00337B9C">
        <w:trPr>
          <w:trHeight w:val="397"/>
          <w:jc w:val="center"/>
        </w:trPr>
        <w:tc>
          <w:tcPr>
            <w:tcW w:w="5000" w:type="pct"/>
            <w:gridSpan w:val="2"/>
            <w:shd w:val="clear" w:color="auto" w:fill="0098BB"/>
            <w:vAlign w:val="center"/>
          </w:tcPr>
          <w:p w14:paraId="2281486B" w14:textId="77777777" w:rsidR="00337B9C" w:rsidRPr="00337B9C" w:rsidRDefault="00337B9C" w:rsidP="00337B9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Vorsorge bei Männern und Frauen</w:t>
            </w:r>
          </w:p>
        </w:tc>
      </w:tr>
      <w:tr w:rsidR="00337B9C" w:rsidRPr="00337B9C" w14:paraId="3185F921" w14:textId="77777777" w:rsidTr="00337B9C">
        <w:trPr>
          <w:trHeight w:val="397"/>
          <w:jc w:val="center"/>
        </w:trPr>
        <w:tc>
          <w:tcPr>
            <w:tcW w:w="472" w:type="pct"/>
            <w:shd w:val="clear" w:color="auto" w:fill="FFFFFF"/>
            <w:vAlign w:val="center"/>
          </w:tcPr>
          <w:p w14:paraId="7BD6A816" w14:textId="77777777" w:rsidR="00337B9C" w:rsidRPr="00337B9C" w:rsidRDefault="00337B9C" w:rsidP="00337B9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ab 18</w:t>
            </w:r>
          </w:p>
        </w:tc>
        <w:tc>
          <w:tcPr>
            <w:tcW w:w="4528" w:type="pct"/>
            <w:shd w:val="clear" w:color="auto" w:fill="FFFFFF"/>
            <w:vAlign w:val="center"/>
          </w:tcPr>
          <w:p w14:paraId="74FB3EE9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Check-up: Früherkennung u. a. von Herz-Kreislauf-Erkrankungen und Diabetes</w:t>
            </w:r>
          </w:p>
          <w:p w14:paraId="65A978A3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einmalig im Alter von 18–35 Jahren: Anamnese, körperliche Untersuchung und Beratung zum Untersuchungsergebnis und Untersuchungen aus dem Blut bei entsprechendem Risikoprofil, z. B. positiver Familienanamnese, Adipositas oder Bluthochdruck: Lipidprofil (Gesamtcholesterin, LDL HDL, Triglyceride), Nüchtern-Plasma-Glucose</w:t>
            </w:r>
          </w:p>
        </w:tc>
      </w:tr>
      <w:tr w:rsidR="00337B9C" w:rsidRPr="00337B9C" w14:paraId="24E8B692" w14:textId="77777777" w:rsidTr="00337B9C">
        <w:trPr>
          <w:trHeight w:val="397"/>
          <w:jc w:val="center"/>
        </w:trPr>
        <w:tc>
          <w:tcPr>
            <w:tcW w:w="472" w:type="pct"/>
            <w:shd w:val="clear" w:color="auto" w:fill="FFFFFF"/>
            <w:vAlign w:val="center"/>
          </w:tcPr>
          <w:p w14:paraId="7BB340C0" w14:textId="77777777" w:rsidR="00337B9C" w:rsidRPr="00337B9C" w:rsidRDefault="00337B9C" w:rsidP="00337B9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ab 35</w:t>
            </w:r>
          </w:p>
          <w:p w14:paraId="26C7F6D2" w14:textId="77777777" w:rsidR="00337B9C" w:rsidRPr="00337B9C" w:rsidRDefault="00337B9C" w:rsidP="00337B9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528" w:type="pct"/>
            <w:shd w:val="clear" w:color="auto" w:fill="FFFFFF"/>
            <w:vAlign w:val="center"/>
          </w:tcPr>
          <w:p w14:paraId="60548D82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Check-up: Früherkennung u. a. von Herz-Kreislauf-Erkrankungen und Diabetes</w:t>
            </w:r>
          </w:p>
          <w:p w14:paraId="26C5AF69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alle 3 Jahre: Anamnese, körperliche Untersuchung, Kontrolle der Blutfettwerte und des Blutzuckers und Kontrolle des Urins und Beratung zum Untersuchungsergebnis</w:t>
            </w:r>
          </w:p>
          <w:p w14:paraId="08E71A4D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einmalig: Blutuntersuchung auf die Leberentzündungen Hepatitis B und C</w:t>
            </w:r>
          </w:p>
        </w:tc>
      </w:tr>
      <w:tr w:rsidR="00337B9C" w:rsidRPr="00337B9C" w14:paraId="4672BCA4" w14:textId="77777777" w:rsidTr="00337B9C">
        <w:trPr>
          <w:trHeight w:val="397"/>
          <w:jc w:val="center"/>
        </w:trPr>
        <w:tc>
          <w:tcPr>
            <w:tcW w:w="472" w:type="pct"/>
            <w:shd w:val="clear" w:color="auto" w:fill="FFFFFF"/>
            <w:vAlign w:val="center"/>
          </w:tcPr>
          <w:p w14:paraId="0EB0B42B" w14:textId="77777777" w:rsidR="00337B9C" w:rsidRPr="00337B9C" w:rsidRDefault="00337B9C" w:rsidP="00337B9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ab 35</w:t>
            </w:r>
          </w:p>
        </w:tc>
        <w:tc>
          <w:tcPr>
            <w:tcW w:w="4528" w:type="pct"/>
            <w:shd w:val="clear" w:color="auto" w:fill="FFFFFF"/>
            <w:vAlign w:val="center"/>
          </w:tcPr>
          <w:p w14:paraId="2BFC80C8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Früherkennung Hautkrebs:</w:t>
            </w:r>
          </w:p>
          <w:p w14:paraId="10E5441D" w14:textId="77777777" w:rsidR="00337B9C" w:rsidRPr="00337B9C" w:rsidRDefault="00337B9C" w:rsidP="00337B9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37B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alle 2 Jahre: Anamnese und Untersuchung der gesamten Haut und Beratung zum Untersuchungsergebnis</w:t>
            </w:r>
          </w:p>
        </w:tc>
      </w:tr>
    </w:tbl>
    <w:p w14:paraId="25CA37C4" w14:textId="77777777" w:rsidR="00337B9C" w:rsidRPr="0038137B" w:rsidRDefault="00337B9C" w:rsidP="00ED2BFA">
      <w:pPr>
        <w:rPr>
          <w:rFonts w:ascii="Arial" w:hAnsi="Arial" w:cs="Arial"/>
          <w:bCs/>
          <w:color w:val="000000"/>
        </w:rPr>
      </w:pPr>
    </w:p>
    <w:sectPr w:rsidR="00337B9C" w:rsidRPr="0038137B" w:rsidSect="00337B9C">
      <w:footerReference w:type="default" r:id="rId8"/>
      <w:pgSz w:w="11906" w:h="16838"/>
      <w:pgMar w:top="851" w:right="1417" w:bottom="709" w:left="1276" w:header="851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7302A" w14:textId="77777777" w:rsidR="00F648C3" w:rsidRDefault="00F648C3" w:rsidP="00112E38">
      <w:r>
        <w:separator/>
      </w:r>
    </w:p>
  </w:endnote>
  <w:endnote w:type="continuationSeparator" w:id="0">
    <w:p w14:paraId="0607302B" w14:textId="77777777" w:rsidR="00F648C3" w:rsidRDefault="00F648C3" w:rsidP="0011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7302C" w14:textId="63D568DC" w:rsidR="002C7CDF" w:rsidRPr="002C7CDF" w:rsidRDefault="002C7CDF" w:rsidP="002C7CDF">
    <w:pPr>
      <w:pStyle w:val="Fuzeile"/>
      <w:rPr>
        <w:rFonts w:ascii="Arial" w:hAnsi="Arial" w:cs="Arial"/>
        <w:b/>
        <w:lang w:val="de-DE"/>
      </w:rPr>
    </w:pPr>
    <w:r w:rsidRPr="00F12D72">
      <w:rPr>
        <w:rFonts w:ascii="Arial" w:hAnsi="Arial" w:cs="Arial"/>
      </w:rPr>
      <w:t>© 20</w:t>
    </w:r>
    <w:r w:rsidR="004A2630">
      <w:rPr>
        <w:rFonts w:ascii="Arial" w:hAnsi="Arial" w:cs="Arial"/>
        <w:lang w:val="de-DE"/>
      </w:rPr>
      <w:t>2</w:t>
    </w:r>
    <w:r w:rsidR="00DA6C75">
      <w:rPr>
        <w:rFonts w:ascii="Arial" w:hAnsi="Arial" w:cs="Arial"/>
        <w:lang w:val="de-DE"/>
      </w:rPr>
      <w:t>3</w:t>
    </w:r>
    <w:r w:rsidRPr="002C7CDF">
      <w:rPr>
        <w:rFonts w:ascii="Arial" w:hAnsi="Arial" w:cs="Arial"/>
        <w:b/>
      </w:rPr>
      <w:t xml:space="preserve"> </w:t>
    </w:r>
    <w:r w:rsidRPr="002A2E77">
      <w:rPr>
        <w:rFonts w:ascii="Arial" w:hAnsi="Arial" w:cs="Arial"/>
        <w:b/>
        <w:color w:val="1F4E79"/>
        <w:lang w:val="de-DE"/>
      </w:rPr>
      <w:t>EBM &amp; GOÄ</w:t>
    </w:r>
    <w:r w:rsidRPr="002C7CDF">
      <w:rPr>
        <w:rFonts w:ascii="Arial" w:hAnsi="Arial" w:cs="Arial"/>
        <w:b/>
        <w:lang w:val="de-DE"/>
      </w:rPr>
      <w:t xml:space="preserve"> </w:t>
    </w:r>
    <w:r w:rsidRPr="00C230EA">
      <w:rPr>
        <w:rFonts w:ascii="Arial" w:hAnsi="Arial" w:cs="Arial"/>
        <w:b/>
        <w:color w:val="B8182F"/>
        <w:lang w:val="de-DE"/>
      </w:rPr>
      <w:t>richtig abgerechnet</w:t>
    </w:r>
  </w:p>
  <w:p w14:paraId="0607302D" w14:textId="77777777" w:rsidR="004637B6" w:rsidRPr="001C2329" w:rsidRDefault="000725A4">
    <w:pPr>
      <w:pStyle w:val="Fuzeile"/>
      <w:rPr>
        <w:rFonts w:ascii="Arial" w:hAnsi="Arial" w:cs="Arial"/>
      </w:rPr>
    </w:pPr>
    <w:r>
      <w:rPr>
        <w:rFonts w:ascii="Arial" w:hAnsi="Arial" w:cs="Arial"/>
        <w:b/>
        <w:color w:val="FDCD01"/>
      </w:rPr>
      <w:tab/>
    </w:r>
    <w:r>
      <w:rPr>
        <w:rFonts w:ascii="Arial" w:hAnsi="Arial" w:cs="Arial"/>
        <w:b/>
        <w:color w:val="FDCD0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73028" w14:textId="77777777" w:rsidR="00F648C3" w:rsidRDefault="00F648C3" w:rsidP="00112E38">
      <w:r>
        <w:separator/>
      </w:r>
    </w:p>
  </w:footnote>
  <w:footnote w:type="continuationSeparator" w:id="0">
    <w:p w14:paraId="06073029" w14:textId="77777777" w:rsidR="00F648C3" w:rsidRDefault="00F648C3" w:rsidP="00112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696E"/>
    <w:multiLevelType w:val="hybridMultilevel"/>
    <w:tmpl w:val="B8E473A6"/>
    <w:lvl w:ilvl="0" w:tplc="A874107C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D4B89"/>
    <w:multiLevelType w:val="hybridMultilevel"/>
    <w:tmpl w:val="D6BA278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579DA"/>
    <w:multiLevelType w:val="hybridMultilevel"/>
    <w:tmpl w:val="E4F65F1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5675C"/>
    <w:multiLevelType w:val="hybridMultilevel"/>
    <w:tmpl w:val="1480E78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E145F"/>
    <w:multiLevelType w:val="hybridMultilevel"/>
    <w:tmpl w:val="55D2F3E0"/>
    <w:lvl w:ilvl="0" w:tplc="6AEECC12">
      <w:start w:val="1"/>
      <w:numFmt w:val="bullet"/>
      <w:lvlText w:val=""/>
      <w:lvlJc w:val="left"/>
      <w:pPr>
        <w:tabs>
          <w:tab w:val="num" w:pos="780"/>
        </w:tabs>
        <w:ind w:left="780" w:hanging="360"/>
      </w:pPr>
      <w:rPr>
        <w:rFonts w:ascii="Webdings" w:hAnsi="Webdings" w:hint="default"/>
        <w:color w:val="00CCFF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7DC19EE"/>
    <w:multiLevelType w:val="hybridMultilevel"/>
    <w:tmpl w:val="56D6C266"/>
    <w:lvl w:ilvl="0" w:tplc="560A3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B0970"/>
    <w:multiLevelType w:val="multilevel"/>
    <w:tmpl w:val="74F2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C5941"/>
    <w:multiLevelType w:val="hybridMultilevel"/>
    <w:tmpl w:val="F81289B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74F05"/>
    <w:multiLevelType w:val="hybridMultilevel"/>
    <w:tmpl w:val="4F003512"/>
    <w:lvl w:ilvl="0" w:tplc="52CCC0E4">
      <w:start w:val="1"/>
      <w:numFmt w:val="bullet"/>
      <w:lvlText w:val="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9D7443"/>
    <w:multiLevelType w:val="hybridMultilevel"/>
    <w:tmpl w:val="3586A94E"/>
    <w:lvl w:ilvl="0" w:tplc="B8228824">
      <w:numFmt w:val="bullet"/>
      <w:lvlText w:val=""/>
      <w:lvlJc w:val="left"/>
      <w:pPr>
        <w:ind w:left="30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10" w15:restartNumberingAfterBreak="0">
    <w:nsid w:val="2CCD77BD"/>
    <w:multiLevelType w:val="hybridMultilevel"/>
    <w:tmpl w:val="C14624E8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B1D61"/>
    <w:multiLevelType w:val="hybridMultilevel"/>
    <w:tmpl w:val="B35C5212"/>
    <w:lvl w:ilvl="0" w:tplc="298AFF1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00608B1"/>
    <w:multiLevelType w:val="hybridMultilevel"/>
    <w:tmpl w:val="340632F2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527EFA"/>
    <w:multiLevelType w:val="hybridMultilevel"/>
    <w:tmpl w:val="FBE0705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444E8"/>
    <w:multiLevelType w:val="hybridMultilevel"/>
    <w:tmpl w:val="5EBEFD24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D3541"/>
    <w:multiLevelType w:val="hybridMultilevel"/>
    <w:tmpl w:val="84AC4526"/>
    <w:lvl w:ilvl="0" w:tplc="BC3A6CD0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56455D"/>
    <w:multiLevelType w:val="hybridMultilevel"/>
    <w:tmpl w:val="8D0EFB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F96E67"/>
    <w:multiLevelType w:val="hybridMultilevel"/>
    <w:tmpl w:val="5936FAE0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45DAB"/>
    <w:multiLevelType w:val="hybridMultilevel"/>
    <w:tmpl w:val="46BAB652"/>
    <w:lvl w:ilvl="0" w:tplc="A9B4FD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5248A2"/>
    <w:multiLevelType w:val="hybridMultilevel"/>
    <w:tmpl w:val="CA7A2B48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7068A"/>
    <w:multiLevelType w:val="hybridMultilevel"/>
    <w:tmpl w:val="03C2A2C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B112A7"/>
    <w:multiLevelType w:val="hybridMultilevel"/>
    <w:tmpl w:val="0A2A57F4"/>
    <w:lvl w:ilvl="0" w:tplc="BA38999C">
      <w:start w:val="1"/>
      <w:numFmt w:val="bullet"/>
      <w:lvlText w:val="q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62B34"/>
    <w:multiLevelType w:val="hybridMultilevel"/>
    <w:tmpl w:val="46CA3986"/>
    <w:lvl w:ilvl="0" w:tplc="7B40A19C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b w:val="0"/>
        <w:color w:val="00CCFF"/>
        <w:sz w:val="24"/>
        <w:szCs w:val="24"/>
        <w:u w:color="00008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0422E"/>
    <w:multiLevelType w:val="hybridMultilevel"/>
    <w:tmpl w:val="E72C2DE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74392C"/>
    <w:multiLevelType w:val="hybridMultilevel"/>
    <w:tmpl w:val="CBFC0D34"/>
    <w:lvl w:ilvl="0" w:tplc="7CDC60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1E4E60"/>
    <w:multiLevelType w:val="hybridMultilevel"/>
    <w:tmpl w:val="17CAE238"/>
    <w:lvl w:ilvl="0" w:tplc="3CF267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B0F0"/>
        <w:u w:color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1EE655F"/>
    <w:multiLevelType w:val="hybridMultilevel"/>
    <w:tmpl w:val="9A1E0A02"/>
    <w:lvl w:ilvl="0" w:tplc="18A25896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22397"/>
    <w:multiLevelType w:val="multilevel"/>
    <w:tmpl w:val="3A52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5D6EEF"/>
    <w:multiLevelType w:val="hybridMultilevel"/>
    <w:tmpl w:val="F15E465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CF2379"/>
    <w:multiLevelType w:val="multilevel"/>
    <w:tmpl w:val="471A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8D5DEA"/>
    <w:multiLevelType w:val="hybridMultilevel"/>
    <w:tmpl w:val="46D48B4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C3B0E"/>
    <w:multiLevelType w:val="hybridMultilevel"/>
    <w:tmpl w:val="A69C28C6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E7F8C1E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FB7940"/>
    <w:multiLevelType w:val="hybridMultilevel"/>
    <w:tmpl w:val="DBDC15E6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D6A5F"/>
    <w:multiLevelType w:val="hybridMultilevel"/>
    <w:tmpl w:val="1D386E32"/>
    <w:lvl w:ilvl="0" w:tplc="17242F02">
      <w:start w:val="1"/>
      <w:numFmt w:val="bullet"/>
      <w:lvlText w:val=""/>
      <w:lvlJc w:val="left"/>
      <w:pPr>
        <w:tabs>
          <w:tab w:val="num" w:pos="60"/>
        </w:tabs>
        <w:ind w:left="780" w:hanging="360"/>
      </w:pPr>
      <w:rPr>
        <w:rFonts w:ascii="Wingdings" w:hAnsi="Wingdings" w:hint="default"/>
        <w:color w:val="00B0F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72129"/>
    <w:multiLevelType w:val="hybridMultilevel"/>
    <w:tmpl w:val="90E2BD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AA6114"/>
    <w:multiLevelType w:val="hybridMultilevel"/>
    <w:tmpl w:val="000C2DCE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E16022"/>
    <w:multiLevelType w:val="hybridMultilevel"/>
    <w:tmpl w:val="363636A0"/>
    <w:lvl w:ilvl="0" w:tplc="F6B88598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8750CA"/>
    <w:multiLevelType w:val="hybridMultilevel"/>
    <w:tmpl w:val="1AEC3DA6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7A7A5E"/>
    <w:multiLevelType w:val="hybridMultilevel"/>
    <w:tmpl w:val="ED8E11E6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EB2F62"/>
    <w:multiLevelType w:val="hybridMultilevel"/>
    <w:tmpl w:val="8ABCBE6C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4C41C9"/>
    <w:multiLevelType w:val="hybridMultilevel"/>
    <w:tmpl w:val="53B0E722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924E04"/>
    <w:multiLevelType w:val="hybridMultilevel"/>
    <w:tmpl w:val="7E644F56"/>
    <w:lvl w:ilvl="0" w:tplc="C750C004">
      <w:start w:val="1"/>
      <w:numFmt w:val="bullet"/>
      <w:pStyle w:val="Markierung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C001AB"/>
    <w:multiLevelType w:val="hybridMultilevel"/>
    <w:tmpl w:val="354ACCA4"/>
    <w:lvl w:ilvl="0" w:tplc="B2F295FC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  <w:b/>
        <w:i w:val="0"/>
        <w:color w:val="00AFDC"/>
        <w:sz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E5A88"/>
    <w:multiLevelType w:val="hybridMultilevel"/>
    <w:tmpl w:val="B4524114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6636997">
    <w:abstractNumId w:val="18"/>
  </w:num>
  <w:num w:numId="2" w16cid:durableId="929510769">
    <w:abstractNumId w:val="25"/>
  </w:num>
  <w:num w:numId="3" w16cid:durableId="2116976203">
    <w:abstractNumId w:val="42"/>
  </w:num>
  <w:num w:numId="4" w16cid:durableId="832838488">
    <w:abstractNumId w:val="33"/>
  </w:num>
  <w:num w:numId="5" w16cid:durableId="1588537969">
    <w:abstractNumId w:val="43"/>
  </w:num>
  <w:num w:numId="6" w16cid:durableId="260920476">
    <w:abstractNumId w:val="2"/>
  </w:num>
  <w:num w:numId="7" w16cid:durableId="1182429349">
    <w:abstractNumId w:val="12"/>
  </w:num>
  <w:num w:numId="8" w16cid:durableId="1010260152">
    <w:abstractNumId w:val="30"/>
  </w:num>
  <w:num w:numId="9" w16cid:durableId="445925824">
    <w:abstractNumId w:val="22"/>
  </w:num>
  <w:num w:numId="10" w16cid:durableId="1640957786">
    <w:abstractNumId w:val="7"/>
  </w:num>
  <w:num w:numId="11" w16cid:durableId="1380325484">
    <w:abstractNumId w:val="35"/>
  </w:num>
  <w:num w:numId="12" w16cid:durableId="595942327">
    <w:abstractNumId w:val="38"/>
  </w:num>
  <w:num w:numId="13" w16cid:durableId="395322060">
    <w:abstractNumId w:val="3"/>
  </w:num>
  <w:num w:numId="14" w16cid:durableId="1299072314">
    <w:abstractNumId w:val="13"/>
  </w:num>
  <w:num w:numId="15" w16cid:durableId="1250624122">
    <w:abstractNumId w:val="23"/>
  </w:num>
  <w:num w:numId="16" w16cid:durableId="50932827">
    <w:abstractNumId w:val="20"/>
  </w:num>
  <w:num w:numId="17" w16cid:durableId="805699805">
    <w:abstractNumId w:val="9"/>
  </w:num>
  <w:num w:numId="18" w16cid:durableId="1035692441">
    <w:abstractNumId w:val="24"/>
  </w:num>
  <w:num w:numId="19" w16cid:durableId="992371779">
    <w:abstractNumId w:val="21"/>
  </w:num>
  <w:num w:numId="20" w16cid:durableId="1657685636">
    <w:abstractNumId w:val="0"/>
  </w:num>
  <w:num w:numId="21" w16cid:durableId="780758842">
    <w:abstractNumId w:val="8"/>
  </w:num>
  <w:num w:numId="22" w16cid:durableId="559943356">
    <w:abstractNumId w:val="4"/>
  </w:num>
  <w:num w:numId="23" w16cid:durableId="1776512376">
    <w:abstractNumId w:val="36"/>
  </w:num>
  <w:num w:numId="24" w16cid:durableId="1393308948">
    <w:abstractNumId w:val="41"/>
  </w:num>
  <w:num w:numId="25" w16cid:durableId="1312716513">
    <w:abstractNumId w:val="16"/>
  </w:num>
  <w:num w:numId="26" w16cid:durableId="951477700">
    <w:abstractNumId w:val="15"/>
  </w:num>
  <w:num w:numId="27" w16cid:durableId="568271148">
    <w:abstractNumId w:val="26"/>
  </w:num>
  <w:num w:numId="28" w16cid:durableId="1185706464">
    <w:abstractNumId w:val="39"/>
  </w:num>
  <w:num w:numId="29" w16cid:durableId="1659728008">
    <w:abstractNumId w:val="32"/>
  </w:num>
  <w:num w:numId="30" w16cid:durableId="572542196">
    <w:abstractNumId w:val="17"/>
  </w:num>
  <w:num w:numId="31" w16cid:durableId="148442356">
    <w:abstractNumId w:val="11"/>
  </w:num>
  <w:num w:numId="32" w16cid:durableId="1616058808">
    <w:abstractNumId w:val="10"/>
  </w:num>
  <w:num w:numId="33" w16cid:durableId="1225608594">
    <w:abstractNumId w:val="14"/>
  </w:num>
  <w:num w:numId="34" w16cid:durableId="328365384">
    <w:abstractNumId w:val="37"/>
  </w:num>
  <w:num w:numId="35" w16cid:durableId="677853825">
    <w:abstractNumId w:val="31"/>
  </w:num>
  <w:num w:numId="36" w16cid:durableId="1131747035">
    <w:abstractNumId w:val="19"/>
  </w:num>
  <w:num w:numId="37" w16cid:durableId="1960994142">
    <w:abstractNumId w:val="28"/>
  </w:num>
  <w:num w:numId="38" w16cid:durableId="92407900">
    <w:abstractNumId w:val="40"/>
  </w:num>
  <w:num w:numId="39" w16cid:durableId="511339135">
    <w:abstractNumId w:val="1"/>
  </w:num>
  <w:num w:numId="40" w16cid:durableId="869683226">
    <w:abstractNumId w:val="5"/>
  </w:num>
  <w:num w:numId="41" w16cid:durableId="1799179837">
    <w:abstractNumId w:val="34"/>
  </w:num>
  <w:num w:numId="42" w16cid:durableId="383454912">
    <w:abstractNumId w:val="27"/>
  </w:num>
  <w:num w:numId="43" w16cid:durableId="820778254">
    <w:abstractNumId w:val="6"/>
  </w:num>
  <w:num w:numId="44" w16cid:durableId="188528790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12E38"/>
    <w:rsid w:val="00004220"/>
    <w:rsid w:val="000046E8"/>
    <w:rsid w:val="0001483A"/>
    <w:rsid w:val="0003262D"/>
    <w:rsid w:val="00032FEE"/>
    <w:rsid w:val="00043078"/>
    <w:rsid w:val="000725A4"/>
    <w:rsid w:val="0008496C"/>
    <w:rsid w:val="0008524B"/>
    <w:rsid w:val="000958CB"/>
    <w:rsid w:val="000A2497"/>
    <w:rsid w:val="000D04F8"/>
    <w:rsid w:val="000F2A9A"/>
    <w:rsid w:val="000F75A4"/>
    <w:rsid w:val="00112E38"/>
    <w:rsid w:val="001135EC"/>
    <w:rsid w:val="00123E1B"/>
    <w:rsid w:val="00142411"/>
    <w:rsid w:val="00152751"/>
    <w:rsid w:val="0018198A"/>
    <w:rsid w:val="0019293C"/>
    <w:rsid w:val="001B36CF"/>
    <w:rsid w:val="001C2329"/>
    <w:rsid w:val="001C31E4"/>
    <w:rsid w:val="001C6AA2"/>
    <w:rsid w:val="001D4511"/>
    <w:rsid w:val="002163E7"/>
    <w:rsid w:val="00245C51"/>
    <w:rsid w:val="0026374D"/>
    <w:rsid w:val="00266A5E"/>
    <w:rsid w:val="0028271D"/>
    <w:rsid w:val="002A2E77"/>
    <w:rsid w:val="002A4F49"/>
    <w:rsid w:val="002C7CDF"/>
    <w:rsid w:val="002D4485"/>
    <w:rsid w:val="002E1FD2"/>
    <w:rsid w:val="002E4E5A"/>
    <w:rsid w:val="002F587D"/>
    <w:rsid w:val="00326BFF"/>
    <w:rsid w:val="00337B9C"/>
    <w:rsid w:val="00352B5B"/>
    <w:rsid w:val="0037761C"/>
    <w:rsid w:val="0038137B"/>
    <w:rsid w:val="00384A87"/>
    <w:rsid w:val="003A3B91"/>
    <w:rsid w:val="003E4AB5"/>
    <w:rsid w:val="003F049F"/>
    <w:rsid w:val="00451D73"/>
    <w:rsid w:val="00455CA7"/>
    <w:rsid w:val="00460EC3"/>
    <w:rsid w:val="004637B6"/>
    <w:rsid w:val="00465A53"/>
    <w:rsid w:val="00493E84"/>
    <w:rsid w:val="004A2630"/>
    <w:rsid w:val="004A5F57"/>
    <w:rsid w:val="004C775C"/>
    <w:rsid w:val="004D6B04"/>
    <w:rsid w:val="004F51C9"/>
    <w:rsid w:val="005024C9"/>
    <w:rsid w:val="0050313A"/>
    <w:rsid w:val="005144EC"/>
    <w:rsid w:val="005147B9"/>
    <w:rsid w:val="00551397"/>
    <w:rsid w:val="005820AE"/>
    <w:rsid w:val="00622CD3"/>
    <w:rsid w:val="0065388A"/>
    <w:rsid w:val="006577DD"/>
    <w:rsid w:val="00663A47"/>
    <w:rsid w:val="00682FE8"/>
    <w:rsid w:val="0068333C"/>
    <w:rsid w:val="00694AD7"/>
    <w:rsid w:val="00697C43"/>
    <w:rsid w:val="006A6E42"/>
    <w:rsid w:val="006B3A3D"/>
    <w:rsid w:val="006B63C3"/>
    <w:rsid w:val="006C6070"/>
    <w:rsid w:val="006E033C"/>
    <w:rsid w:val="006F0C8B"/>
    <w:rsid w:val="00701CA8"/>
    <w:rsid w:val="00704750"/>
    <w:rsid w:val="00706E18"/>
    <w:rsid w:val="0072560E"/>
    <w:rsid w:val="007332BA"/>
    <w:rsid w:val="007459A6"/>
    <w:rsid w:val="00754465"/>
    <w:rsid w:val="00754758"/>
    <w:rsid w:val="007550E6"/>
    <w:rsid w:val="00756A89"/>
    <w:rsid w:val="00761BA3"/>
    <w:rsid w:val="00781162"/>
    <w:rsid w:val="007817A4"/>
    <w:rsid w:val="007B5A5C"/>
    <w:rsid w:val="007C6F65"/>
    <w:rsid w:val="007E766D"/>
    <w:rsid w:val="007F6205"/>
    <w:rsid w:val="008114B5"/>
    <w:rsid w:val="0085537C"/>
    <w:rsid w:val="008846BE"/>
    <w:rsid w:val="00886D3E"/>
    <w:rsid w:val="008B3F92"/>
    <w:rsid w:val="008F11D5"/>
    <w:rsid w:val="00905100"/>
    <w:rsid w:val="00991EAA"/>
    <w:rsid w:val="009D70AB"/>
    <w:rsid w:val="009E37BF"/>
    <w:rsid w:val="009F538D"/>
    <w:rsid w:val="00A23432"/>
    <w:rsid w:val="00A2443F"/>
    <w:rsid w:val="00A60232"/>
    <w:rsid w:val="00A64ACA"/>
    <w:rsid w:val="00A73217"/>
    <w:rsid w:val="00AA4074"/>
    <w:rsid w:val="00AE0B30"/>
    <w:rsid w:val="00AE1890"/>
    <w:rsid w:val="00AE3EC8"/>
    <w:rsid w:val="00AF4FE6"/>
    <w:rsid w:val="00B058B0"/>
    <w:rsid w:val="00B30382"/>
    <w:rsid w:val="00B305CC"/>
    <w:rsid w:val="00B344DA"/>
    <w:rsid w:val="00B5043E"/>
    <w:rsid w:val="00B5589E"/>
    <w:rsid w:val="00B802CD"/>
    <w:rsid w:val="00B818B7"/>
    <w:rsid w:val="00B8488D"/>
    <w:rsid w:val="00B971B8"/>
    <w:rsid w:val="00BA21B2"/>
    <w:rsid w:val="00BA42BF"/>
    <w:rsid w:val="00BB6E63"/>
    <w:rsid w:val="00BE436A"/>
    <w:rsid w:val="00BE480A"/>
    <w:rsid w:val="00BF3D6A"/>
    <w:rsid w:val="00BF5E1F"/>
    <w:rsid w:val="00C230EA"/>
    <w:rsid w:val="00C36B72"/>
    <w:rsid w:val="00C36C7B"/>
    <w:rsid w:val="00C40B3B"/>
    <w:rsid w:val="00C53089"/>
    <w:rsid w:val="00C57B08"/>
    <w:rsid w:val="00C715B7"/>
    <w:rsid w:val="00CB5A64"/>
    <w:rsid w:val="00CD18DD"/>
    <w:rsid w:val="00D00DA5"/>
    <w:rsid w:val="00D013A9"/>
    <w:rsid w:val="00D01F3D"/>
    <w:rsid w:val="00D15C4E"/>
    <w:rsid w:val="00D228D6"/>
    <w:rsid w:val="00D50475"/>
    <w:rsid w:val="00D6029E"/>
    <w:rsid w:val="00DA56F9"/>
    <w:rsid w:val="00DA6C75"/>
    <w:rsid w:val="00DA7956"/>
    <w:rsid w:val="00DC2AF0"/>
    <w:rsid w:val="00DD277F"/>
    <w:rsid w:val="00DF5801"/>
    <w:rsid w:val="00DF6640"/>
    <w:rsid w:val="00E02A1C"/>
    <w:rsid w:val="00E03803"/>
    <w:rsid w:val="00E1395E"/>
    <w:rsid w:val="00E2296C"/>
    <w:rsid w:val="00E33B39"/>
    <w:rsid w:val="00E44A5C"/>
    <w:rsid w:val="00E4701F"/>
    <w:rsid w:val="00E475C4"/>
    <w:rsid w:val="00E50138"/>
    <w:rsid w:val="00E732CC"/>
    <w:rsid w:val="00E91627"/>
    <w:rsid w:val="00EA3C9A"/>
    <w:rsid w:val="00ED2BFA"/>
    <w:rsid w:val="00F10C51"/>
    <w:rsid w:val="00F12D72"/>
    <w:rsid w:val="00F648C3"/>
    <w:rsid w:val="00F80234"/>
    <w:rsid w:val="00F84F71"/>
    <w:rsid w:val="00F941D8"/>
    <w:rsid w:val="00FB43DB"/>
    <w:rsid w:val="00FC65B9"/>
    <w:rsid w:val="00FE64B8"/>
    <w:rsid w:val="00FE74EB"/>
    <w:rsid w:val="00FE7F23"/>
    <w:rsid w:val="00FF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6073016"/>
  <w15:chartTrackingRefBased/>
  <w15:docId w15:val="{B58F16C5-4330-41B2-AF20-10ECB693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2E38"/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rsid w:val="007459A6"/>
    <w:pPr>
      <w:spacing w:before="100" w:beforeAutospacing="1" w:after="100" w:afterAutospacing="1"/>
    </w:pPr>
  </w:style>
  <w:style w:type="table" w:customStyle="1" w:styleId="Tabellengitternetz">
    <w:name w:val="Tabellengitternetz"/>
    <w:basedOn w:val="NormaleTabelle"/>
    <w:rsid w:val="00A732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undtext">
    <w:name w:val="grundtext"/>
    <w:basedOn w:val="Standard"/>
    <w:rsid w:val="00E2296C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rsid w:val="00FF18D3"/>
    <w:pPr>
      <w:spacing w:line="320" w:lineRule="exact"/>
      <w:jc w:val="center"/>
    </w:pPr>
    <w:rPr>
      <w:rFonts w:ascii="Arial" w:hAnsi="Arial"/>
      <w:sz w:val="20"/>
      <w:szCs w:val="20"/>
    </w:rPr>
  </w:style>
  <w:style w:type="character" w:customStyle="1" w:styleId="TextkrperZchn">
    <w:name w:val="Textkörper Zchn"/>
    <w:link w:val="Textkrper"/>
    <w:rsid w:val="00FF18D3"/>
    <w:rPr>
      <w:rFonts w:ascii="Arial" w:eastAsia="Times New Roman" w:hAnsi="Arial"/>
    </w:rPr>
  </w:style>
  <w:style w:type="paragraph" w:styleId="Textkrper3">
    <w:name w:val="Body Text 3"/>
    <w:basedOn w:val="Standard"/>
    <w:link w:val="Textkrper3Zchn"/>
    <w:rsid w:val="00FF18D3"/>
    <w:pPr>
      <w:spacing w:after="120"/>
      <w:jc w:val="center"/>
    </w:pPr>
    <w:rPr>
      <w:rFonts w:ascii="Arial" w:hAnsi="Arial"/>
      <w:sz w:val="16"/>
      <w:szCs w:val="16"/>
      <w:lang w:eastAsia="en-US"/>
    </w:rPr>
  </w:style>
  <w:style w:type="character" w:customStyle="1" w:styleId="Textkrper3Zchn">
    <w:name w:val="Textkörper 3 Zchn"/>
    <w:link w:val="Textkrper3"/>
    <w:rsid w:val="00FF18D3"/>
    <w:rPr>
      <w:rFonts w:ascii="Arial" w:eastAsia="Times New Roman" w:hAnsi="Arial"/>
      <w:sz w:val="16"/>
      <w:szCs w:val="16"/>
      <w:lang w:eastAsia="en-US"/>
    </w:rPr>
  </w:style>
  <w:style w:type="paragraph" w:styleId="Textkrper2">
    <w:name w:val="Body Text 2"/>
    <w:basedOn w:val="Standard"/>
    <w:link w:val="Textkrper2Zchn"/>
    <w:rsid w:val="00FF18D3"/>
    <w:pPr>
      <w:spacing w:after="120" w:line="480" w:lineRule="auto"/>
      <w:jc w:val="both"/>
    </w:pPr>
    <w:rPr>
      <w:rFonts w:ascii="Arial" w:hAnsi="Arial"/>
      <w:sz w:val="20"/>
      <w:szCs w:val="22"/>
      <w:lang w:eastAsia="en-US"/>
    </w:rPr>
  </w:style>
  <w:style w:type="character" w:customStyle="1" w:styleId="Textkrper2Zchn">
    <w:name w:val="Textkörper 2 Zchn"/>
    <w:link w:val="Textkrper2"/>
    <w:rsid w:val="00FF18D3"/>
    <w:rPr>
      <w:rFonts w:ascii="Arial" w:eastAsia="Times New Roman" w:hAnsi="Arial"/>
      <w:szCs w:val="22"/>
      <w:lang w:eastAsia="en-US"/>
    </w:rPr>
  </w:style>
  <w:style w:type="paragraph" w:customStyle="1" w:styleId="Markierung1">
    <w:name w:val="Markierung1"/>
    <w:basedOn w:val="Standard"/>
    <w:rsid w:val="00FF18D3"/>
    <w:pPr>
      <w:numPr>
        <w:numId w:val="24"/>
      </w:numPr>
      <w:jc w:val="center"/>
    </w:pPr>
  </w:style>
  <w:style w:type="paragraph" w:styleId="Listenabsatz">
    <w:name w:val="List Paragraph"/>
    <w:basedOn w:val="Standard"/>
    <w:qFormat/>
    <w:rsid w:val="00C36B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657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uiPriority w:val="22"/>
    <w:qFormat/>
    <w:rsid w:val="002F587D"/>
    <w:rPr>
      <w:b/>
      <w:bCs/>
    </w:rPr>
  </w:style>
  <w:style w:type="character" w:styleId="Kommentarzeichen">
    <w:name w:val="annotation reference"/>
    <w:uiPriority w:val="99"/>
    <w:rsid w:val="00B344D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B344DA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B344DA"/>
    <w:rPr>
      <w:rFonts w:ascii="Times New Roman" w:eastAsia="Times New Roman" w:hAnsi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44D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B344DA"/>
    <w:rPr>
      <w:rFonts w:ascii="Segoe UI" w:eastAsia="Times New Roman" w:hAnsi="Segoe UI" w:cs="Segoe UI"/>
      <w:sz w:val="18"/>
      <w:szCs w:val="18"/>
    </w:rPr>
  </w:style>
  <w:style w:type="paragraph" w:customStyle="1" w:styleId="bodytext">
    <w:name w:val="bodytext"/>
    <w:basedOn w:val="Standard"/>
    <w:rsid w:val="00E02A1C"/>
    <w:pPr>
      <w:spacing w:before="100" w:beforeAutospacing="1" w:after="100" w:afterAutospacing="1"/>
    </w:pPr>
  </w:style>
  <w:style w:type="paragraph" w:customStyle="1" w:styleId="APKTabelleberschrift">
    <w:name w:val="APK_Tabelle_Überschrift"/>
    <w:qFormat/>
    <w:rsid w:val="00D228D6"/>
    <w:pPr>
      <w:spacing w:before="57" w:after="57" w:line="288" w:lineRule="auto"/>
    </w:pPr>
    <w:rPr>
      <w:rFonts w:cs="Calibri"/>
      <w:b/>
      <w:color w:val="FFFFFF"/>
      <w:sz w:val="24"/>
      <w:lang w:eastAsia="en-US"/>
    </w:rPr>
  </w:style>
  <w:style w:type="paragraph" w:customStyle="1" w:styleId="APKTabelleZwischen">
    <w:name w:val="APK_Tabelle_Zwischenü"/>
    <w:qFormat/>
    <w:rsid w:val="00D228D6"/>
    <w:pPr>
      <w:spacing w:before="20" w:after="20"/>
    </w:pPr>
    <w:rPr>
      <w:rFonts w:cs="Calibri"/>
      <w:b/>
      <w:color w:val="FFFFFF"/>
      <w:sz w:val="22"/>
      <w:lang w:eastAsia="en-US"/>
    </w:rPr>
  </w:style>
  <w:style w:type="paragraph" w:customStyle="1" w:styleId="APKTabelleText">
    <w:name w:val="APK_Tabelle_Text"/>
    <w:qFormat/>
    <w:rsid w:val="00D228D6"/>
    <w:pPr>
      <w:spacing w:before="40"/>
    </w:pPr>
    <w:rPr>
      <w:rFonts w:ascii="Times New Roman" w:hAnsi="Times New Roman"/>
      <w:color w:val="000000"/>
      <w:lang w:eastAsia="en-US"/>
    </w:rPr>
  </w:style>
  <w:style w:type="paragraph" w:customStyle="1" w:styleId="Subheadline">
    <w:name w:val="Subheadline"/>
    <w:basedOn w:val="Standard"/>
    <w:qFormat/>
    <w:rsid w:val="00DA6C75"/>
    <w:rPr>
      <w:rFonts w:ascii="Calibri" w:eastAsia="Calibri" w:hAnsi="Calibri"/>
      <w:b/>
      <w:bCs/>
      <w:color w:val="0091BA"/>
      <w:sz w:val="19"/>
      <w:szCs w:val="19"/>
      <w:lang w:eastAsia="en-US"/>
    </w:rPr>
  </w:style>
  <w:style w:type="paragraph" w:customStyle="1" w:styleId="TabelleHead">
    <w:name w:val="Tabelle Head"/>
    <w:basedOn w:val="Standard"/>
    <w:qFormat/>
    <w:rsid w:val="00DA6C75"/>
    <w:rPr>
      <w:rFonts w:ascii="Calibri" w:eastAsia="Calibri" w:hAnsi="Calibri"/>
      <w:color w:val="FFFFFF"/>
      <w:sz w:val="19"/>
      <w:szCs w:val="19"/>
      <w:lang w:eastAsia="en-US"/>
    </w:rPr>
  </w:style>
  <w:style w:type="paragraph" w:customStyle="1" w:styleId="TabelleText">
    <w:name w:val="Tabelle_Text"/>
    <w:basedOn w:val="Standard"/>
    <w:qFormat/>
    <w:rsid w:val="00DA6C75"/>
    <w:rPr>
      <w:rFonts w:eastAsia="Calibri"/>
      <w:sz w:val="18"/>
      <w:szCs w:val="18"/>
      <w:lang w:eastAsia="en-US"/>
    </w:rPr>
  </w:style>
  <w:style w:type="paragraph" w:customStyle="1" w:styleId="TabelleSubline">
    <w:name w:val="Tabelle Subline"/>
    <w:basedOn w:val="Subheadline"/>
    <w:qFormat/>
    <w:rsid w:val="000D04F8"/>
  </w:style>
  <w:style w:type="paragraph" w:customStyle="1" w:styleId="MFATabelleSubhead">
    <w:name w:val="MFA_Tabelle_Subhead"/>
    <w:basedOn w:val="TabelleSubline"/>
    <w:qFormat/>
    <w:rsid w:val="0019293C"/>
    <w:rPr>
      <w:color w:val="66B9A6"/>
    </w:rPr>
  </w:style>
  <w:style w:type="paragraph" w:customStyle="1" w:styleId="TableHead">
    <w:name w:val="Table Head"/>
    <w:basedOn w:val="Standard"/>
    <w:qFormat/>
    <w:rsid w:val="00337B9C"/>
    <w:rPr>
      <w:rFonts w:ascii="Calibri" w:eastAsia="Calibri" w:hAnsi="Calibri"/>
      <w:color w:val="FFFFFF"/>
      <w:sz w:val="19"/>
      <w:szCs w:val="19"/>
      <w:lang w:eastAsia="en-US"/>
    </w:rPr>
  </w:style>
  <w:style w:type="paragraph" w:customStyle="1" w:styleId="TableSubline">
    <w:name w:val="Table Subline"/>
    <w:basedOn w:val="Standard"/>
    <w:qFormat/>
    <w:rsid w:val="00337B9C"/>
    <w:pPr>
      <w:spacing w:after="120"/>
      <w:jc w:val="both"/>
    </w:pPr>
    <w:rPr>
      <w:rFonts w:ascii="Calibri" w:eastAsia="Calibri" w:hAnsi="Calibri"/>
      <w:b/>
      <w:bCs/>
      <w:color w:val="DA4F46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0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0E572220-559A-4FDB-9AF4-286A45FCE9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F777FF-220A-4CBB-B23D-D152E7C9FC99}"/>
</file>

<file path=customXml/itemProps3.xml><?xml version="1.0" encoding="utf-8"?>
<ds:datastoreItem xmlns:ds="http://schemas.openxmlformats.org/officeDocument/2006/customXml" ds:itemID="{4AD02BBC-E497-4D82-9663-9C33F322FBE9}"/>
</file>

<file path=customXml/itemProps4.xml><?xml version="1.0" encoding="utf-8"?>
<ds:datastoreItem xmlns:ds="http://schemas.openxmlformats.org/officeDocument/2006/customXml" ds:itemID="{E5BA450E-0BCB-4D1D-816D-D5B367A302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Lautenbach</dc:creator>
  <cp:keywords/>
  <cp:lastModifiedBy>Korinna Wulfinghoff</cp:lastModifiedBy>
  <cp:revision>2</cp:revision>
  <dcterms:created xsi:type="dcterms:W3CDTF">2023-08-24T13:45:00Z</dcterms:created>
  <dcterms:modified xsi:type="dcterms:W3CDTF">2023-08-24T13:45:00Z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