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32064" w14:textId="77777777" w:rsidR="002A5D13" w:rsidRDefault="007A7CA7" w:rsidP="007A7CA7">
      <w:pPr>
        <w:tabs>
          <w:tab w:val="left" w:pos="5280"/>
        </w:tabs>
        <w:rPr>
          <w:b/>
          <w:noProof/>
          <w:lang w:eastAsia="de-DE"/>
        </w:rPr>
      </w:pPr>
      <w:r>
        <w:rPr>
          <w:b/>
          <w:noProof/>
          <w:lang w:eastAsia="de-DE"/>
        </w:rPr>
        <w:tab/>
      </w:r>
    </w:p>
    <w:p w14:paraId="47F8C1EC" w14:textId="77777777" w:rsidR="002E2DF9" w:rsidRDefault="002E2DF9" w:rsidP="00B707AF">
      <w:pPr>
        <w:tabs>
          <w:tab w:val="left" w:pos="2430"/>
          <w:tab w:val="left" w:pos="4185"/>
          <w:tab w:val="left" w:pos="6900"/>
        </w:tabs>
      </w:pPr>
    </w:p>
    <w:p w14:paraId="405E6B9B" w14:textId="065A0EDC" w:rsidR="00C73E1A" w:rsidRDefault="007A7CA7" w:rsidP="00B707AF">
      <w:pPr>
        <w:tabs>
          <w:tab w:val="left" w:pos="2430"/>
          <w:tab w:val="left" w:pos="4185"/>
          <w:tab w:val="left" w:pos="6900"/>
        </w:tabs>
      </w:pPr>
      <w:r>
        <w:tab/>
      </w:r>
      <w:r>
        <w:tab/>
      </w:r>
      <w:r w:rsidR="00B707AF">
        <w:tab/>
      </w:r>
    </w:p>
    <w:p w14:paraId="2C5A15CA" w14:textId="77777777" w:rsidR="002A4C10" w:rsidRDefault="002A4C10" w:rsidP="00581B4B"/>
    <w:tbl>
      <w:tblPr>
        <w:tblW w:w="9773"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70"/>
        <w:gridCol w:w="7203"/>
      </w:tblGrid>
      <w:tr w:rsidR="002E2DF9" w:rsidRPr="002E2DF9" w14:paraId="02C8DA9A" w14:textId="77777777" w:rsidTr="002E2DF9">
        <w:tblPrEx>
          <w:tblCellMar>
            <w:top w:w="0" w:type="dxa"/>
            <w:bottom w:w="0" w:type="dxa"/>
          </w:tblCellMar>
        </w:tblPrEx>
        <w:trPr>
          <w:trHeight w:val="122"/>
          <w:jc w:val="center"/>
        </w:trPr>
        <w:tc>
          <w:tcPr>
            <w:tcW w:w="9773" w:type="dxa"/>
            <w:gridSpan w:val="2"/>
            <w:tcBorders>
              <w:top w:val="none" w:sz="6" w:space="0" w:color="auto"/>
              <w:left w:val="none" w:sz="6" w:space="0" w:color="auto"/>
              <w:bottom w:val="none" w:sz="6" w:space="0" w:color="auto"/>
              <w:right w:val="none" w:sz="6" w:space="0" w:color="auto"/>
            </w:tcBorders>
            <w:shd w:val="clear" w:color="auto" w:fill="0099CC"/>
          </w:tcPr>
          <w:p w14:paraId="59829CDE" w14:textId="413C3DC8" w:rsidR="002E2DF9" w:rsidRPr="002E2DF9" w:rsidRDefault="002E2DF9" w:rsidP="002E2DF9">
            <w:pPr>
              <w:spacing w:before="120" w:after="120"/>
              <w:rPr>
                <w:rFonts w:ascii="Arial" w:hAnsi="Arial" w:cs="Arial"/>
                <w:b/>
                <w:color w:val="FFFFFF"/>
                <w:sz w:val="28"/>
                <w:szCs w:val="28"/>
              </w:rPr>
            </w:pPr>
            <w:r w:rsidRPr="002E2DF9">
              <w:rPr>
                <w:rFonts w:ascii="Arial" w:hAnsi="Arial" w:cs="Arial"/>
                <w:b/>
                <w:color w:val="FFFFFF"/>
                <w:sz w:val="28"/>
                <w:szCs w:val="28"/>
              </w:rPr>
              <w:t xml:space="preserve">Übersicht: Möglichkeiten </w:t>
            </w:r>
            <w:r>
              <w:rPr>
                <w:rFonts w:ascii="Arial" w:hAnsi="Arial" w:cs="Arial"/>
                <w:b/>
                <w:color w:val="FFFFFF"/>
                <w:sz w:val="28"/>
                <w:szCs w:val="28"/>
              </w:rPr>
              <w:t>f</w:t>
            </w:r>
            <w:r w:rsidRPr="002E2DF9">
              <w:rPr>
                <w:rFonts w:ascii="Arial" w:hAnsi="Arial" w:cs="Arial"/>
                <w:b/>
                <w:color w:val="FFFFFF"/>
                <w:sz w:val="28"/>
                <w:szCs w:val="28"/>
              </w:rPr>
              <w:t xml:space="preserve">ür </w:t>
            </w:r>
            <w:r>
              <w:rPr>
                <w:rFonts w:ascii="Arial" w:hAnsi="Arial" w:cs="Arial"/>
                <w:b/>
                <w:color w:val="FFFFFF"/>
                <w:sz w:val="28"/>
                <w:szCs w:val="28"/>
              </w:rPr>
              <w:t>d</w:t>
            </w:r>
            <w:r w:rsidRPr="002E2DF9">
              <w:rPr>
                <w:rFonts w:ascii="Arial" w:hAnsi="Arial" w:cs="Arial"/>
                <w:b/>
                <w:color w:val="FFFFFF"/>
                <w:sz w:val="28"/>
                <w:szCs w:val="28"/>
              </w:rPr>
              <w:t xml:space="preserve">ie Organisation </w:t>
            </w:r>
            <w:r>
              <w:rPr>
                <w:rFonts w:ascii="Arial" w:hAnsi="Arial" w:cs="Arial"/>
                <w:b/>
                <w:color w:val="FFFFFF"/>
                <w:sz w:val="28"/>
                <w:szCs w:val="28"/>
              </w:rPr>
              <w:t>d</w:t>
            </w:r>
            <w:r w:rsidRPr="002E2DF9">
              <w:rPr>
                <w:rFonts w:ascii="Arial" w:hAnsi="Arial" w:cs="Arial"/>
                <w:b/>
                <w:color w:val="FFFFFF"/>
                <w:sz w:val="28"/>
                <w:szCs w:val="28"/>
              </w:rPr>
              <w:t>er Rufbereitschaft</w:t>
            </w:r>
          </w:p>
        </w:tc>
      </w:tr>
      <w:tr w:rsidR="002E2DF9" w:rsidRPr="002E2DF9" w14:paraId="3618A108" w14:textId="77777777" w:rsidTr="002E2DF9">
        <w:tblPrEx>
          <w:tblCellMar>
            <w:top w:w="0" w:type="dxa"/>
            <w:bottom w:w="0" w:type="dxa"/>
          </w:tblCellMar>
        </w:tblPrEx>
        <w:trPr>
          <w:trHeight w:val="122"/>
          <w:jc w:val="center"/>
        </w:trPr>
        <w:tc>
          <w:tcPr>
            <w:tcW w:w="2570" w:type="dxa"/>
            <w:tcBorders>
              <w:top w:val="none" w:sz="6" w:space="0" w:color="auto"/>
              <w:left w:val="none" w:sz="6" w:space="0" w:color="auto"/>
              <w:bottom w:val="none" w:sz="6" w:space="0" w:color="auto"/>
              <w:right w:val="none" w:sz="6" w:space="0" w:color="auto"/>
            </w:tcBorders>
            <w:shd w:val="clear" w:color="auto" w:fill="DAEEF3"/>
          </w:tcPr>
          <w:p w14:paraId="43A735A8" w14:textId="77777777" w:rsidR="002E2DF9" w:rsidRPr="002E2DF9" w:rsidRDefault="002E2DF9" w:rsidP="002E2DF9">
            <w:pPr>
              <w:spacing w:before="120" w:after="120"/>
              <w:rPr>
                <w:rFonts w:ascii="Arial" w:hAnsi="Arial" w:cs="Arial"/>
                <w:b/>
                <w:color w:val="000000" w:themeColor="text1"/>
                <w:sz w:val="24"/>
                <w:szCs w:val="24"/>
              </w:rPr>
            </w:pPr>
            <w:r w:rsidRPr="002E2DF9">
              <w:rPr>
                <w:rFonts w:ascii="Arial" w:hAnsi="Arial" w:cs="Arial"/>
                <w:b/>
                <w:color w:val="000000" w:themeColor="text1"/>
                <w:sz w:val="24"/>
                <w:szCs w:val="24"/>
              </w:rPr>
              <w:t xml:space="preserve">Möglichkeit </w:t>
            </w:r>
          </w:p>
        </w:tc>
        <w:tc>
          <w:tcPr>
            <w:tcW w:w="7203" w:type="dxa"/>
            <w:tcBorders>
              <w:top w:val="none" w:sz="6" w:space="0" w:color="auto"/>
              <w:left w:val="none" w:sz="6" w:space="0" w:color="auto"/>
              <w:bottom w:val="none" w:sz="6" w:space="0" w:color="auto"/>
              <w:right w:val="none" w:sz="6" w:space="0" w:color="auto"/>
            </w:tcBorders>
            <w:shd w:val="clear" w:color="auto" w:fill="DAEEF3"/>
          </w:tcPr>
          <w:p w14:paraId="00C23930" w14:textId="77777777" w:rsidR="002E2DF9" w:rsidRPr="002E2DF9" w:rsidRDefault="002E2DF9" w:rsidP="002E2DF9">
            <w:pPr>
              <w:spacing w:before="120" w:after="120"/>
              <w:rPr>
                <w:rFonts w:ascii="Arial" w:hAnsi="Arial" w:cs="Arial"/>
                <w:b/>
                <w:color w:val="000000" w:themeColor="text1"/>
                <w:sz w:val="24"/>
                <w:szCs w:val="24"/>
              </w:rPr>
            </w:pPr>
            <w:r w:rsidRPr="002E2DF9">
              <w:rPr>
                <w:rFonts w:ascii="Arial" w:hAnsi="Arial" w:cs="Arial"/>
                <w:b/>
                <w:color w:val="000000" w:themeColor="text1"/>
                <w:sz w:val="24"/>
                <w:szCs w:val="24"/>
              </w:rPr>
              <w:t xml:space="preserve">Das steckt dahinter </w:t>
            </w:r>
          </w:p>
        </w:tc>
      </w:tr>
      <w:tr w:rsidR="002E2DF9" w:rsidRPr="002E2DF9" w14:paraId="2BCE9CA6" w14:textId="77777777" w:rsidTr="002E2DF9">
        <w:tblPrEx>
          <w:tblCellMar>
            <w:top w:w="0" w:type="dxa"/>
            <w:bottom w:w="0" w:type="dxa"/>
          </w:tblCellMar>
        </w:tblPrEx>
        <w:trPr>
          <w:trHeight w:val="1153"/>
          <w:jc w:val="center"/>
        </w:trPr>
        <w:tc>
          <w:tcPr>
            <w:tcW w:w="2570" w:type="dxa"/>
            <w:tcBorders>
              <w:top w:val="none" w:sz="6" w:space="0" w:color="auto"/>
              <w:left w:val="none" w:sz="6" w:space="0" w:color="auto"/>
              <w:bottom w:val="none" w:sz="6" w:space="0" w:color="auto"/>
              <w:right w:val="none" w:sz="6" w:space="0" w:color="auto"/>
            </w:tcBorders>
          </w:tcPr>
          <w:p w14:paraId="69E68B65" w14:textId="2B2D5D1E" w:rsidR="002E2DF9" w:rsidRPr="002E2DF9" w:rsidRDefault="002E2DF9" w:rsidP="002E2DF9">
            <w:pPr>
              <w:spacing w:before="120" w:after="120"/>
              <w:rPr>
                <w:rFonts w:ascii="Arial" w:hAnsi="Arial" w:cs="Arial"/>
                <w:bCs/>
                <w:color w:val="000000" w:themeColor="text1"/>
                <w:sz w:val="24"/>
                <w:szCs w:val="24"/>
              </w:rPr>
            </w:pPr>
            <w:r w:rsidRPr="002E2DF9">
              <w:rPr>
                <w:rFonts w:ascii="Arial" w:hAnsi="Arial" w:cs="Arial"/>
                <w:bCs/>
                <w:color w:val="000000" w:themeColor="text1"/>
                <w:sz w:val="24"/>
                <w:szCs w:val="24"/>
              </w:rPr>
              <w:t xml:space="preserve">Notfallhandy oder Anrufweiterschaltung </w:t>
            </w:r>
          </w:p>
        </w:tc>
        <w:tc>
          <w:tcPr>
            <w:tcW w:w="7203" w:type="dxa"/>
            <w:tcBorders>
              <w:top w:val="none" w:sz="6" w:space="0" w:color="auto"/>
              <w:left w:val="none" w:sz="6" w:space="0" w:color="auto"/>
              <w:bottom w:val="single" w:sz="4" w:space="0" w:color="auto"/>
              <w:right w:val="none" w:sz="6" w:space="0" w:color="auto"/>
            </w:tcBorders>
          </w:tcPr>
          <w:p w14:paraId="4C7E7EAD" w14:textId="77777777" w:rsidR="002E2DF9" w:rsidRPr="002E2DF9" w:rsidRDefault="002E2DF9" w:rsidP="002E2DF9">
            <w:pPr>
              <w:spacing w:before="120" w:after="120"/>
              <w:rPr>
                <w:rFonts w:ascii="Arial" w:hAnsi="Arial" w:cs="Arial"/>
                <w:bCs/>
                <w:color w:val="000000" w:themeColor="text1"/>
                <w:sz w:val="24"/>
                <w:szCs w:val="24"/>
              </w:rPr>
            </w:pPr>
            <w:r w:rsidRPr="002E2DF9">
              <w:rPr>
                <w:rFonts w:ascii="Arial" w:hAnsi="Arial" w:cs="Arial"/>
                <w:bCs/>
                <w:color w:val="000000" w:themeColor="text1"/>
                <w:sz w:val="24"/>
                <w:szCs w:val="24"/>
              </w:rPr>
              <w:t>Sie können die Rufbereitschaft in Ihrem Pflegedienst z. B. mit einem Handy (Notfallnummer) oder einer Rufweiterschaltung organisieren. Entscheiden Sie sich dafür, Ihre Rufbereitschaft über ein Handy (Notfallnummer) sicherzustellen, sollten Sie immer ein und dasselbe Handy verwenden. Dieses geben Sie jeweils an den Mitarbeiter, der für die Rufbereitschaft zustän</w:t>
            </w:r>
            <w:r w:rsidRPr="002E2DF9">
              <w:rPr>
                <w:rFonts w:ascii="Arial" w:hAnsi="Arial" w:cs="Arial"/>
                <w:bCs/>
                <w:color w:val="000000" w:themeColor="text1"/>
                <w:sz w:val="24"/>
                <w:szCs w:val="24"/>
              </w:rPr>
              <w:softHyphen/>
              <w:t>dig ist. Teilen Sie Ihren Pflegekunden schon beim Erstge</w:t>
            </w:r>
            <w:r w:rsidRPr="002E2DF9">
              <w:rPr>
                <w:rFonts w:ascii="Arial" w:hAnsi="Arial" w:cs="Arial"/>
                <w:bCs/>
                <w:color w:val="000000" w:themeColor="text1"/>
                <w:sz w:val="24"/>
                <w:szCs w:val="24"/>
              </w:rPr>
              <w:softHyphen/>
              <w:t xml:space="preserve">spräch die Nummer mit. Bei der Rufweiterschaltung können Sie alle bei Ihrer Büronummer eingehenden Anrufe auf das Handy des zuständigen Mitarbeiters umleiten. </w:t>
            </w:r>
          </w:p>
        </w:tc>
      </w:tr>
      <w:tr w:rsidR="002E2DF9" w:rsidRPr="002E2DF9" w14:paraId="02AE363B" w14:textId="77777777" w:rsidTr="002E2DF9">
        <w:tblPrEx>
          <w:tblCellMar>
            <w:top w:w="0" w:type="dxa"/>
            <w:bottom w:w="0" w:type="dxa"/>
          </w:tblCellMar>
        </w:tblPrEx>
        <w:trPr>
          <w:trHeight w:val="1613"/>
          <w:jc w:val="center"/>
        </w:trPr>
        <w:tc>
          <w:tcPr>
            <w:tcW w:w="2570" w:type="dxa"/>
            <w:tcBorders>
              <w:top w:val="none" w:sz="6" w:space="0" w:color="auto"/>
              <w:left w:val="none" w:sz="6" w:space="0" w:color="auto"/>
              <w:bottom w:val="none" w:sz="6" w:space="0" w:color="auto"/>
              <w:right w:val="single" w:sz="4" w:space="0" w:color="auto"/>
            </w:tcBorders>
          </w:tcPr>
          <w:p w14:paraId="305C5210" w14:textId="77777777" w:rsidR="002E2DF9" w:rsidRPr="002E2DF9" w:rsidRDefault="002E2DF9" w:rsidP="002E2DF9">
            <w:pPr>
              <w:spacing w:before="120" w:after="120"/>
              <w:rPr>
                <w:rFonts w:ascii="Arial" w:hAnsi="Arial" w:cs="Arial"/>
                <w:bCs/>
                <w:color w:val="000000" w:themeColor="text1"/>
                <w:sz w:val="24"/>
                <w:szCs w:val="24"/>
              </w:rPr>
            </w:pPr>
            <w:r w:rsidRPr="002E2DF9">
              <w:rPr>
                <w:rFonts w:ascii="Arial" w:hAnsi="Arial" w:cs="Arial"/>
                <w:bCs/>
                <w:color w:val="000000" w:themeColor="text1"/>
                <w:sz w:val="24"/>
                <w:szCs w:val="24"/>
              </w:rPr>
              <w:t>Zusammenar</w:t>
            </w:r>
            <w:r w:rsidRPr="002E2DF9">
              <w:rPr>
                <w:rFonts w:ascii="Arial" w:hAnsi="Arial" w:cs="Arial"/>
                <w:bCs/>
                <w:color w:val="000000" w:themeColor="text1"/>
                <w:sz w:val="24"/>
                <w:szCs w:val="24"/>
              </w:rPr>
              <w:softHyphen/>
              <w:t xml:space="preserve">beit mit einem Callcenter </w:t>
            </w:r>
          </w:p>
        </w:tc>
        <w:tc>
          <w:tcPr>
            <w:tcW w:w="7203" w:type="dxa"/>
            <w:tcBorders>
              <w:top w:val="single" w:sz="4" w:space="0" w:color="auto"/>
              <w:left w:val="single" w:sz="4" w:space="0" w:color="auto"/>
              <w:bottom w:val="single" w:sz="4" w:space="0" w:color="auto"/>
              <w:right w:val="single" w:sz="4" w:space="0" w:color="auto"/>
            </w:tcBorders>
          </w:tcPr>
          <w:p w14:paraId="60C50DC5" w14:textId="77777777" w:rsidR="002E2DF9" w:rsidRPr="002E2DF9" w:rsidRDefault="002E2DF9" w:rsidP="002E2DF9">
            <w:pPr>
              <w:spacing w:before="120" w:after="120"/>
              <w:rPr>
                <w:rFonts w:ascii="Arial" w:hAnsi="Arial" w:cs="Arial"/>
                <w:bCs/>
                <w:color w:val="000000" w:themeColor="text1"/>
                <w:sz w:val="24"/>
                <w:szCs w:val="24"/>
              </w:rPr>
            </w:pPr>
            <w:r w:rsidRPr="002E2DF9">
              <w:rPr>
                <w:rFonts w:ascii="Arial" w:hAnsi="Arial" w:cs="Arial"/>
                <w:bCs/>
                <w:color w:val="000000" w:themeColor="text1"/>
                <w:sz w:val="24"/>
                <w:szCs w:val="24"/>
              </w:rPr>
              <w:t>Zur Sicherstellung der Rufbereitschaft können Sie auch mit einem Callcenter zusammenarbeiten. Vorteil hierbei ist, dass lästige Anrufe außerhalb der Bürozeiten, beispielsweise von Vertretern, nicht von Ihren Mitarbeitern angenommen wer</w:t>
            </w:r>
            <w:r w:rsidRPr="002E2DF9">
              <w:rPr>
                <w:rFonts w:ascii="Arial" w:hAnsi="Arial" w:cs="Arial"/>
                <w:bCs/>
                <w:color w:val="000000" w:themeColor="text1"/>
                <w:sz w:val="24"/>
                <w:szCs w:val="24"/>
              </w:rPr>
              <w:softHyphen/>
              <w:t>den müssen. Allerdings müssen Sie bei dieser Variante sicher</w:t>
            </w:r>
            <w:r w:rsidRPr="002E2DF9">
              <w:rPr>
                <w:rFonts w:ascii="Arial" w:hAnsi="Arial" w:cs="Arial"/>
                <w:bCs/>
                <w:color w:val="000000" w:themeColor="text1"/>
                <w:sz w:val="24"/>
                <w:szCs w:val="24"/>
              </w:rPr>
              <w:softHyphen/>
              <w:t>stellen und darauf achten, dass die Mitarbeiter des Callcen</w:t>
            </w:r>
            <w:r w:rsidRPr="002E2DF9">
              <w:rPr>
                <w:rFonts w:ascii="Arial" w:hAnsi="Arial" w:cs="Arial"/>
                <w:bCs/>
                <w:color w:val="000000" w:themeColor="text1"/>
                <w:sz w:val="24"/>
                <w:szCs w:val="24"/>
              </w:rPr>
              <w:softHyphen/>
              <w:t>ters in der Lage sind, alle pflegerelevanten Anrufe umgehend an eine Pflegefachkraft Ihres Pflegedienstes weiterzuleiten. Es ist also auch hier unerlässlich, dass eine Ihrer Pflegefach</w:t>
            </w:r>
            <w:r w:rsidRPr="002E2DF9">
              <w:rPr>
                <w:rFonts w:ascii="Arial" w:hAnsi="Arial" w:cs="Arial"/>
                <w:bCs/>
                <w:color w:val="000000" w:themeColor="text1"/>
                <w:sz w:val="24"/>
                <w:szCs w:val="24"/>
              </w:rPr>
              <w:softHyphen/>
              <w:t>kräfte erreichbar und einsatzbereit ist. Unseres Erachtens werden durch ein solches Vorgehen vor allem Kosten gene</w:t>
            </w:r>
            <w:r w:rsidRPr="002E2DF9">
              <w:rPr>
                <w:rFonts w:ascii="Arial" w:hAnsi="Arial" w:cs="Arial"/>
                <w:bCs/>
                <w:color w:val="000000" w:themeColor="text1"/>
                <w:sz w:val="24"/>
                <w:szCs w:val="24"/>
              </w:rPr>
              <w:softHyphen/>
              <w:t>riert. Außerdem ist es für Ihre Pflegekunden oder ihre Ange</w:t>
            </w:r>
            <w:r w:rsidRPr="002E2DF9">
              <w:rPr>
                <w:rFonts w:ascii="Arial" w:hAnsi="Arial" w:cs="Arial"/>
                <w:bCs/>
                <w:color w:val="000000" w:themeColor="text1"/>
                <w:sz w:val="24"/>
                <w:szCs w:val="24"/>
              </w:rPr>
              <w:softHyphen/>
              <w:t xml:space="preserve">hörigen, die in Not sind, nicht schön und vertrauenerweckend, wenn sie als Erstes in einem Callcenter „aufschlagen“. </w:t>
            </w:r>
          </w:p>
        </w:tc>
      </w:tr>
      <w:tr w:rsidR="002E2DF9" w:rsidRPr="002E2DF9" w14:paraId="0501BD57" w14:textId="77777777" w:rsidTr="002E2DF9">
        <w:tblPrEx>
          <w:tblCellMar>
            <w:top w:w="0" w:type="dxa"/>
            <w:bottom w:w="0" w:type="dxa"/>
          </w:tblCellMar>
        </w:tblPrEx>
        <w:trPr>
          <w:trHeight w:val="1268"/>
          <w:jc w:val="center"/>
        </w:trPr>
        <w:tc>
          <w:tcPr>
            <w:tcW w:w="2570" w:type="dxa"/>
            <w:tcBorders>
              <w:top w:val="none" w:sz="6" w:space="0" w:color="auto"/>
              <w:left w:val="none" w:sz="6" w:space="0" w:color="auto"/>
              <w:bottom w:val="none" w:sz="6" w:space="0" w:color="auto"/>
              <w:right w:val="single" w:sz="4" w:space="0" w:color="auto"/>
            </w:tcBorders>
          </w:tcPr>
          <w:p w14:paraId="70632BFB" w14:textId="77777777" w:rsidR="002E2DF9" w:rsidRPr="002E2DF9" w:rsidRDefault="002E2DF9" w:rsidP="002E2DF9">
            <w:pPr>
              <w:spacing w:before="120" w:after="120"/>
              <w:rPr>
                <w:rFonts w:ascii="Arial" w:hAnsi="Arial" w:cs="Arial"/>
                <w:bCs/>
                <w:color w:val="000000" w:themeColor="text1"/>
                <w:sz w:val="24"/>
                <w:szCs w:val="24"/>
              </w:rPr>
            </w:pPr>
            <w:r w:rsidRPr="002E2DF9">
              <w:rPr>
                <w:rFonts w:ascii="Arial" w:hAnsi="Arial" w:cs="Arial"/>
                <w:bCs/>
                <w:color w:val="000000" w:themeColor="text1"/>
                <w:sz w:val="24"/>
                <w:szCs w:val="24"/>
              </w:rPr>
              <w:t xml:space="preserve">Kooperation mit einem anderen Pflegedienst </w:t>
            </w:r>
          </w:p>
        </w:tc>
        <w:tc>
          <w:tcPr>
            <w:tcW w:w="7203" w:type="dxa"/>
            <w:tcBorders>
              <w:top w:val="single" w:sz="4" w:space="0" w:color="auto"/>
              <w:left w:val="single" w:sz="4" w:space="0" w:color="auto"/>
              <w:bottom w:val="single" w:sz="4" w:space="0" w:color="auto"/>
              <w:right w:val="single" w:sz="4" w:space="0" w:color="auto"/>
            </w:tcBorders>
          </w:tcPr>
          <w:p w14:paraId="279B1F05" w14:textId="77777777" w:rsidR="002E2DF9" w:rsidRPr="002E2DF9" w:rsidRDefault="002E2DF9" w:rsidP="002E2DF9">
            <w:pPr>
              <w:spacing w:before="120" w:after="120"/>
              <w:rPr>
                <w:rFonts w:ascii="Arial" w:hAnsi="Arial" w:cs="Arial"/>
                <w:bCs/>
                <w:color w:val="000000" w:themeColor="text1"/>
                <w:sz w:val="24"/>
                <w:szCs w:val="24"/>
              </w:rPr>
            </w:pPr>
            <w:r w:rsidRPr="002E2DF9">
              <w:rPr>
                <w:rFonts w:ascii="Arial" w:hAnsi="Arial" w:cs="Arial"/>
                <w:bCs/>
                <w:color w:val="000000" w:themeColor="text1"/>
                <w:sz w:val="24"/>
                <w:szCs w:val="24"/>
              </w:rPr>
              <w:t>Eine weitere Möglichkeit, die Rufbereitschaft zu organisieren, ist die Kooperation mit einem anderen zugelassenen Pflege</w:t>
            </w:r>
            <w:r w:rsidRPr="002E2DF9">
              <w:rPr>
                <w:rFonts w:ascii="Arial" w:hAnsi="Arial" w:cs="Arial"/>
                <w:bCs/>
                <w:color w:val="000000" w:themeColor="text1"/>
                <w:sz w:val="24"/>
                <w:szCs w:val="24"/>
              </w:rPr>
              <w:softHyphen/>
              <w:t>dienst. Bei dieser Variante nehmen Sie und der kooperieren</w:t>
            </w:r>
            <w:r w:rsidRPr="002E2DF9">
              <w:rPr>
                <w:rFonts w:ascii="Arial" w:hAnsi="Arial" w:cs="Arial"/>
                <w:bCs/>
                <w:color w:val="000000" w:themeColor="text1"/>
                <w:sz w:val="24"/>
                <w:szCs w:val="24"/>
              </w:rPr>
              <w:softHyphen/>
              <w:t>de Pflegedienst im Wechsel alle eingehenden Anrufe entge</w:t>
            </w:r>
            <w:r w:rsidRPr="002E2DF9">
              <w:rPr>
                <w:rFonts w:ascii="Arial" w:hAnsi="Arial" w:cs="Arial"/>
                <w:bCs/>
                <w:color w:val="000000" w:themeColor="text1"/>
                <w:sz w:val="24"/>
                <w:szCs w:val="24"/>
              </w:rPr>
              <w:softHyphen/>
              <w:t>gen. In der Regel verständigt der jeweils diensthabende Pflegedienst den anderen über etwaige pflegerelevante Vor</w:t>
            </w:r>
            <w:r w:rsidRPr="002E2DF9">
              <w:rPr>
                <w:rFonts w:ascii="Arial" w:hAnsi="Arial" w:cs="Arial"/>
                <w:bCs/>
                <w:color w:val="000000" w:themeColor="text1"/>
                <w:sz w:val="24"/>
                <w:szCs w:val="24"/>
              </w:rPr>
              <w:softHyphen/>
              <w:t>fälle. Die Einsätze können dann vom Pflegedienst des betrof</w:t>
            </w:r>
            <w:r w:rsidRPr="002E2DF9">
              <w:rPr>
                <w:rFonts w:ascii="Arial" w:hAnsi="Arial" w:cs="Arial"/>
                <w:bCs/>
                <w:color w:val="000000" w:themeColor="text1"/>
                <w:sz w:val="24"/>
                <w:szCs w:val="24"/>
              </w:rPr>
              <w:softHyphen/>
              <w:t>fenen Pflegekunden gefahren werden. Auch hier sehen wir als Redaktion keine wirklichen Vorteile. Denn die eigene Pfle</w:t>
            </w:r>
            <w:r w:rsidRPr="002E2DF9">
              <w:rPr>
                <w:rFonts w:ascii="Arial" w:hAnsi="Arial" w:cs="Arial"/>
                <w:bCs/>
                <w:color w:val="000000" w:themeColor="text1"/>
                <w:sz w:val="24"/>
                <w:szCs w:val="24"/>
              </w:rPr>
              <w:softHyphen/>
              <w:t xml:space="preserve">gefachkraft muss sich, auch wenn eine andere Pflegefachkraft den Anruf angenommen hat, um die Anfrage kümmern. </w:t>
            </w:r>
          </w:p>
        </w:tc>
      </w:tr>
    </w:tbl>
    <w:p w14:paraId="5C5C217E" w14:textId="77777777" w:rsidR="002A4C10" w:rsidRDefault="002A4C10" w:rsidP="00581B4B"/>
    <w:sectPr w:rsidR="002A4C10"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D0AFA" w14:textId="77777777" w:rsidR="00054253" w:rsidRDefault="00054253" w:rsidP="002A5D13">
      <w:pPr>
        <w:spacing w:after="0" w:line="240" w:lineRule="auto"/>
      </w:pPr>
      <w:r>
        <w:separator/>
      </w:r>
    </w:p>
  </w:endnote>
  <w:endnote w:type="continuationSeparator" w:id="0">
    <w:p w14:paraId="30DD8A5B" w14:textId="77777777" w:rsidR="00054253" w:rsidRDefault="00054253"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65577" w14:textId="77777777" w:rsidR="00054253" w:rsidRDefault="00054253" w:rsidP="002A5D13">
      <w:pPr>
        <w:spacing w:after="0" w:line="240" w:lineRule="auto"/>
      </w:pPr>
      <w:r>
        <w:separator/>
      </w:r>
    </w:p>
  </w:footnote>
  <w:footnote w:type="continuationSeparator" w:id="0">
    <w:p w14:paraId="5520A06C" w14:textId="77777777" w:rsidR="00054253" w:rsidRDefault="00054253"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5EAD63F9" w:rsidR="007A7CA7" w:rsidRPr="00E74AD6" w:rsidRDefault="00D97E25" w:rsidP="00D97E25">
          <w:pPr>
            <w:pStyle w:val="Kopfzeile"/>
            <w:jc w:val="center"/>
            <w:rPr>
              <w:b/>
              <w:color w:val="DAEEF3"/>
            </w:rPr>
          </w:pPr>
          <w:r>
            <w:rPr>
              <w:b/>
              <w:color w:val="DAEEF3"/>
              <w:sz w:val="24"/>
            </w:rPr>
            <w:t xml:space="preserve">Ausgabe </w:t>
          </w:r>
          <w:r w:rsidR="00E35393">
            <w:rPr>
              <w:b/>
              <w:color w:val="DAEEF3"/>
              <w:sz w:val="24"/>
            </w:rPr>
            <w:t>18</w:t>
          </w:r>
          <w:r w:rsidR="00A42A0D">
            <w:rPr>
              <w:b/>
              <w:color w:val="DAEEF3"/>
              <w:sz w:val="24"/>
            </w:rPr>
            <w:t xml:space="preserve"> - 20</w:t>
          </w:r>
          <w:r w:rsidR="009000A8">
            <w:rPr>
              <w:b/>
              <w:color w:val="DAEEF3"/>
              <w:sz w:val="24"/>
            </w:rPr>
            <w:t>2</w:t>
          </w:r>
          <w:r w:rsidR="007D2F6C">
            <w:rPr>
              <w:b/>
              <w:color w:val="DAEEF3"/>
              <w:sz w:val="24"/>
            </w:rPr>
            <w:t>4</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4"/>
  </w:num>
  <w:num w:numId="2" w16cid:durableId="1523666159">
    <w:abstractNumId w:val="24"/>
  </w:num>
  <w:num w:numId="3" w16cid:durableId="1865754299">
    <w:abstractNumId w:val="29"/>
  </w:num>
  <w:num w:numId="4" w16cid:durableId="818304963">
    <w:abstractNumId w:val="15"/>
  </w:num>
  <w:num w:numId="5" w16cid:durableId="909541012">
    <w:abstractNumId w:val="8"/>
  </w:num>
  <w:num w:numId="6" w16cid:durableId="1327440480">
    <w:abstractNumId w:val="12"/>
  </w:num>
  <w:num w:numId="7" w16cid:durableId="1965695332">
    <w:abstractNumId w:val="17"/>
  </w:num>
  <w:num w:numId="8" w16cid:durableId="1631742190">
    <w:abstractNumId w:val="16"/>
  </w:num>
  <w:num w:numId="9" w16cid:durableId="507452013">
    <w:abstractNumId w:val="13"/>
  </w:num>
  <w:num w:numId="10" w16cid:durableId="1380588834">
    <w:abstractNumId w:val="5"/>
  </w:num>
  <w:num w:numId="11" w16cid:durableId="905796348">
    <w:abstractNumId w:val="25"/>
  </w:num>
  <w:num w:numId="12" w16cid:durableId="561402115">
    <w:abstractNumId w:val="19"/>
  </w:num>
  <w:num w:numId="13" w16cid:durableId="2137408609">
    <w:abstractNumId w:val="20"/>
  </w:num>
  <w:num w:numId="14" w16cid:durableId="1825924056">
    <w:abstractNumId w:val="18"/>
  </w:num>
  <w:num w:numId="15" w16cid:durableId="1575043430">
    <w:abstractNumId w:val="21"/>
  </w:num>
  <w:num w:numId="16" w16cid:durableId="260797494">
    <w:abstractNumId w:val="22"/>
  </w:num>
  <w:num w:numId="17" w16cid:durableId="1416823773">
    <w:abstractNumId w:val="23"/>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6"/>
  </w:num>
  <w:num w:numId="27" w16cid:durableId="379787300">
    <w:abstractNumId w:val="28"/>
  </w:num>
  <w:num w:numId="28" w16cid:durableId="424151893">
    <w:abstractNumId w:val="30"/>
  </w:num>
  <w:num w:numId="29" w16cid:durableId="107509980">
    <w:abstractNumId w:val="27"/>
  </w:num>
  <w:num w:numId="30" w16cid:durableId="223221979">
    <w:abstractNumId w:val="10"/>
  </w:num>
  <w:num w:numId="31" w16cid:durableId="817040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111D"/>
    <w:rsid w:val="000A7188"/>
    <w:rsid w:val="000B50CC"/>
    <w:rsid w:val="000C66D4"/>
    <w:rsid w:val="000C6A2D"/>
    <w:rsid w:val="0015409B"/>
    <w:rsid w:val="00192DD6"/>
    <w:rsid w:val="001B429B"/>
    <w:rsid w:val="001E33AA"/>
    <w:rsid w:val="00205D0C"/>
    <w:rsid w:val="00217E03"/>
    <w:rsid w:val="00243397"/>
    <w:rsid w:val="0027096C"/>
    <w:rsid w:val="002766CF"/>
    <w:rsid w:val="0028515F"/>
    <w:rsid w:val="002A4C10"/>
    <w:rsid w:val="002A5D13"/>
    <w:rsid w:val="002B029B"/>
    <w:rsid w:val="002B4419"/>
    <w:rsid w:val="002D45E4"/>
    <w:rsid w:val="002E2DF9"/>
    <w:rsid w:val="002E4378"/>
    <w:rsid w:val="003676E3"/>
    <w:rsid w:val="00380EF0"/>
    <w:rsid w:val="003E3400"/>
    <w:rsid w:val="00433F51"/>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910F2"/>
    <w:rsid w:val="006A5CFE"/>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92D40"/>
    <w:rsid w:val="008B1F83"/>
    <w:rsid w:val="008C0D29"/>
    <w:rsid w:val="008E62B1"/>
    <w:rsid w:val="009000A8"/>
    <w:rsid w:val="009352A5"/>
    <w:rsid w:val="00936BEB"/>
    <w:rsid w:val="00937B0B"/>
    <w:rsid w:val="009433D9"/>
    <w:rsid w:val="00983536"/>
    <w:rsid w:val="00985C2F"/>
    <w:rsid w:val="009A6365"/>
    <w:rsid w:val="009B721F"/>
    <w:rsid w:val="009E6591"/>
    <w:rsid w:val="009F64ED"/>
    <w:rsid w:val="00A06C64"/>
    <w:rsid w:val="00A42A0D"/>
    <w:rsid w:val="00AF17D9"/>
    <w:rsid w:val="00B01FFE"/>
    <w:rsid w:val="00B16885"/>
    <w:rsid w:val="00B707AF"/>
    <w:rsid w:val="00B81586"/>
    <w:rsid w:val="00B87D52"/>
    <w:rsid w:val="00BD71E9"/>
    <w:rsid w:val="00C310AF"/>
    <w:rsid w:val="00C42D52"/>
    <w:rsid w:val="00C73E1A"/>
    <w:rsid w:val="00C91E68"/>
    <w:rsid w:val="00C9289F"/>
    <w:rsid w:val="00CC38C8"/>
    <w:rsid w:val="00CD4F0B"/>
    <w:rsid w:val="00D56265"/>
    <w:rsid w:val="00D6029A"/>
    <w:rsid w:val="00D97E25"/>
    <w:rsid w:val="00DA1ADE"/>
    <w:rsid w:val="00DB32C7"/>
    <w:rsid w:val="00DD233A"/>
    <w:rsid w:val="00E028D9"/>
    <w:rsid w:val="00E2265E"/>
    <w:rsid w:val="00E35393"/>
    <w:rsid w:val="00E74AD6"/>
    <w:rsid w:val="00ED7053"/>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3D4DC496-C2E8-4C02-AE5A-E14AE90B2963}"/>
</file>

<file path=customXml/itemProps2.xml><?xml version="1.0" encoding="utf-8"?>
<ds:datastoreItem xmlns:ds="http://schemas.openxmlformats.org/officeDocument/2006/customXml" ds:itemID="{4B6031D4-3E3B-4E5F-8156-3CEB34724962}"/>
</file>

<file path=customXml/itemProps3.xml><?xml version="1.0" encoding="utf-8"?>
<ds:datastoreItem xmlns:ds="http://schemas.openxmlformats.org/officeDocument/2006/customXml" ds:itemID="{02A09F5A-7A27-4867-B756-7D956B321FB0}"/>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2024-08-06T10:54:00Z</dcterms:created>
  <dcterms:modified xsi:type="dcterms:W3CDTF">2024-08-06T10:54:00Z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