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85605" w14:textId="77777777" w:rsidR="002A5D13" w:rsidRDefault="007A7CA7" w:rsidP="007A7CA7">
      <w:pPr>
        <w:tabs>
          <w:tab w:val="left" w:pos="5280"/>
        </w:tabs>
        <w:rPr>
          <w:b/>
          <w:noProof/>
          <w:lang w:eastAsia="de-DE"/>
        </w:rPr>
      </w:pPr>
      <w:r>
        <w:rPr>
          <w:b/>
          <w:noProof/>
          <w:lang w:eastAsia="de-DE"/>
        </w:rPr>
        <w:tab/>
      </w:r>
    </w:p>
    <w:p w14:paraId="3098EF56" w14:textId="77777777" w:rsidR="00C73E1A" w:rsidRDefault="007A7CA7" w:rsidP="005E1850">
      <w:pPr>
        <w:tabs>
          <w:tab w:val="left" w:pos="1365"/>
          <w:tab w:val="left" w:pos="2430"/>
          <w:tab w:val="left" w:pos="4185"/>
          <w:tab w:val="left" w:pos="6900"/>
        </w:tabs>
      </w:pPr>
      <w:r>
        <w:tab/>
      </w:r>
      <w:r w:rsidR="005E1850">
        <w:tab/>
      </w:r>
      <w:r>
        <w:tab/>
      </w:r>
      <w:r w:rsidR="00B707AF">
        <w:tab/>
      </w:r>
    </w:p>
    <w:p w14:paraId="2E9DE91B" w14:textId="7299CA82" w:rsidR="003B2898" w:rsidRPr="006A5B1B" w:rsidRDefault="006E18EF" w:rsidP="006A5B1B">
      <w:pPr>
        <w:tabs>
          <w:tab w:val="left" w:pos="898"/>
          <w:tab w:val="left" w:pos="2430"/>
        </w:tabs>
      </w:pPr>
      <w:r>
        <w:tab/>
      </w:r>
      <w:r w:rsidR="004B6C90">
        <w:tab/>
      </w:r>
    </w:p>
    <w:p w14:paraId="2F359D26" w14:textId="42D25375" w:rsidR="006A5B1B" w:rsidRPr="00FE7D3E" w:rsidRDefault="006A5B1B" w:rsidP="006A5B1B">
      <w:pPr>
        <w:pStyle w:val="Beschriftung"/>
        <w:spacing w:after="0"/>
        <w:rPr>
          <w:rFonts w:cs="Arial"/>
          <w:b w:val="0"/>
          <w:color w:val="auto"/>
          <w:sz w:val="24"/>
          <w:szCs w:val="24"/>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7999"/>
      </w:tblGrid>
      <w:tr w:rsidR="006A5B1B" w:rsidRPr="006A5B1B" w14:paraId="022055A7" w14:textId="77777777" w:rsidTr="006A5B1B">
        <w:trPr>
          <w:jc w:val="center"/>
        </w:trPr>
        <w:tc>
          <w:tcPr>
            <w:tcW w:w="10485" w:type="dxa"/>
            <w:gridSpan w:val="2"/>
            <w:shd w:val="clear" w:color="auto" w:fill="2E75CC"/>
          </w:tcPr>
          <w:p w14:paraId="77A14D53" w14:textId="19D88E37" w:rsidR="006A5B1B" w:rsidRPr="006A5B1B" w:rsidRDefault="006A5B1B" w:rsidP="006A5B1B">
            <w:pPr>
              <w:spacing w:before="120" w:after="120"/>
              <w:rPr>
                <w:rFonts w:ascii="Arial" w:hAnsi="Arial" w:cs="Arial"/>
                <w:b/>
                <w:color w:val="FFFFFF"/>
                <w:sz w:val="28"/>
                <w:szCs w:val="28"/>
              </w:rPr>
            </w:pPr>
            <w:r w:rsidRPr="006A5B1B">
              <w:rPr>
                <w:rFonts w:ascii="Arial" w:hAnsi="Arial" w:cs="Arial"/>
                <w:b/>
                <w:color w:val="FFFFFF"/>
                <w:sz w:val="28"/>
                <w:szCs w:val="28"/>
              </w:rPr>
              <w:t>Muster: Beschwerdeprozess in Tabellenform</w:t>
            </w:r>
          </w:p>
        </w:tc>
      </w:tr>
      <w:tr w:rsidR="006A5B1B" w:rsidRPr="006A5B1B" w14:paraId="58341005" w14:textId="77777777" w:rsidTr="006A5B1B">
        <w:trPr>
          <w:jc w:val="center"/>
        </w:trPr>
        <w:tc>
          <w:tcPr>
            <w:tcW w:w="2486" w:type="dxa"/>
            <w:shd w:val="clear" w:color="auto" w:fill="B0C0DA"/>
          </w:tcPr>
          <w:p w14:paraId="36DA7A32" w14:textId="77777777" w:rsidR="006A5B1B" w:rsidRPr="006A5B1B" w:rsidRDefault="006A5B1B" w:rsidP="006A5B1B">
            <w:pPr>
              <w:spacing w:before="120" w:after="120"/>
              <w:rPr>
                <w:rFonts w:ascii="Arial" w:hAnsi="Arial" w:cs="Arial"/>
                <w:b/>
                <w:color w:val="000000" w:themeColor="text1"/>
                <w:sz w:val="24"/>
                <w:szCs w:val="24"/>
              </w:rPr>
            </w:pPr>
            <w:bookmarkStart w:id="0" w:name="_Toc335046116"/>
            <w:bookmarkStart w:id="1" w:name="_Toc337481624"/>
            <w:r w:rsidRPr="006A5B1B">
              <w:rPr>
                <w:rFonts w:ascii="Arial" w:hAnsi="Arial" w:cs="Arial"/>
                <w:b/>
                <w:color w:val="000000" w:themeColor="text1"/>
                <w:sz w:val="24"/>
                <w:szCs w:val="24"/>
              </w:rPr>
              <w:t>Handlungsschritt</w:t>
            </w:r>
            <w:bookmarkEnd w:id="0"/>
            <w:bookmarkEnd w:id="1"/>
          </w:p>
        </w:tc>
        <w:tc>
          <w:tcPr>
            <w:tcW w:w="7999" w:type="dxa"/>
            <w:shd w:val="clear" w:color="auto" w:fill="B0C0DA"/>
          </w:tcPr>
          <w:p w14:paraId="768E9D43" w14:textId="77777777" w:rsidR="006A5B1B" w:rsidRPr="006A5B1B" w:rsidRDefault="006A5B1B" w:rsidP="006A5B1B">
            <w:pPr>
              <w:spacing w:before="120" w:after="120"/>
              <w:rPr>
                <w:rFonts w:ascii="Arial" w:hAnsi="Arial" w:cs="Arial"/>
                <w:b/>
                <w:color w:val="000000" w:themeColor="text1"/>
                <w:sz w:val="24"/>
                <w:szCs w:val="24"/>
              </w:rPr>
            </w:pPr>
            <w:bookmarkStart w:id="2" w:name="_Toc335046117"/>
            <w:bookmarkStart w:id="3" w:name="_Toc337481625"/>
            <w:r w:rsidRPr="006A5B1B">
              <w:rPr>
                <w:rFonts w:ascii="Arial" w:hAnsi="Arial" w:cs="Arial"/>
                <w:b/>
                <w:color w:val="000000" w:themeColor="text1"/>
                <w:sz w:val="24"/>
                <w:szCs w:val="24"/>
              </w:rPr>
              <w:t>Zu beachten</w:t>
            </w:r>
            <w:bookmarkEnd w:id="2"/>
            <w:bookmarkEnd w:id="3"/>
          </w:p>
        </w:tc>
      </w:tr>
      <w:tr w:rsidR="006A5B1B" w:rsidRPr="006A5B1B" w14:paraId="43047BC9" w14:textId="77777777" w:rsidTr="006A5B1B">
        <w:trPr>
          <w:jc w:val="center"/>
        </w:trPr>
        <w:tc>
          <w:tcPr>
            <w:tcW w:w="2486" w:type="dxa"/>
            <w:shd w:val="clear" w:color="auto" w:fill="auto"/>
          </w:tcPr>
          <w:p w14:paraId="6057733F" w14:textId="77777777" w:rsidR="006A5B1B" w:rsidRPr="006A5B1B" w:rsidRDefault="006A5B1B" w:rsidP="006A5B1B">
            <w:pPr>
              <w:spacing w:before="120" w:after="120"/>
              <w:rPr>
                <w:rFonts w:ascii="Arial" w:hAnsi="Arial" w:cs="Arial"/>
                <w:bCs/>
                <w:color w:val="000000" w:themeColor="text1"/>
                <w:sz w:val="24"/>
                <w:szCs w:val="24"/>
              </w:rPr>
            </w:pPr>
            <w:r w:rsidRPr="006A5B1B">
              <w:rPr>
                <w:rFonts w:ascii="Arial" w:hAnsi="Arial" w:cs="Arial"/>
                <w:bCs/>
                <w:color w:val="000000" w:themeColor="text1"/>
                <w:sz w:val="24"/>
                <w:szCs w:val="24"/>
              </w:rPr>
              <w:t>Stimulieren von Beschwerden</w:t>
            </w:r>
          </w:p>
        </w:tc>
        <w:tc>
          <w:tcPr>
            <w:tcW w:w="7999" w:type="dxa"/>
            <w:shd w:val="clear" w:color="auto" w:fill="auto"/>
          </w:tcPr>
          <w:p w14:paraId="15ED1327" w14:textId="77777777" w:rsidR="006A5B1B" w:rsidRPr="006A5B1B" w:rsidRDefault="006A5B1B" w:rsidP="006A5B1B">
            <w:pPr>
              <w:spacing w:before="120" w:after="120"/>
              <w:rPr>
                <w:rFonts w:ascii="Arial" w:hAnsi="Arial" w:cs="Arial"/>
                <w:bCs/>
                <w:color w:val="000000" w:themeColor="text1"/>
                <w:sz w:val="24"/>
                <w:szCs w:val="24"/>
              </w:rPr>
            </w:pPr>
            <w:r w:rsidRPr="006A5B1B">
              <w:rPr>
                <w:rFonts w:ascii="Arial" w:hAnsi="Arial" w:cs="Arial"/>
                <w:bCs/>
                <w:color w:val="000000" w:themeColor="text1"/>
                <w:sz w:val="24"/>
                <w:szCs w:val="24"/>
              </w:rPr>
              <w:t>Wir informieren unsere Pflegekunden und Angehörigen regelmäßig über die Möglichkeit, sich zu beschweren, z. B. im Gespräch oder über die Homepage.</w:t>
            </w:r>
          </w:p>
        </w:tc>
      </w:tr>
      <w:tr w:rsidR="006A5B1B" w:rsidRPr="006A5B1B" w14:paraId="6B31998F" w14:textId="77777777" w:rsidTr="006A5B1B">
        <w:trPr>
          <w:jc w:val="center"/>
        </w:trPr>
        <w:tc>
          <w:tcPr>
            <w:tcW w:w="2486" w:type="dxa"/>
          </w:tcPr>
          <w:p w14:paraId="1E0DA5D6" w14:textId="77777777" w:rsidR="006A5B1B" w:rsidRPr="006A5B1B" w:rsidRDefault="006A5B1B" w:rsidP="006A5B1B">
            <w:pPr>
              <w:spacing w:before="120" w:after="120"/>
              <w:rPr>
                <w:rFonts w:ascii="Arial" w:hAnsi="Arial" w:cs="Arial"/>
                <w:bCs/>
                <w:color w:val="000000" w:themeColor="text1"/>
                <w:sz w:val="24"/>
                <w:szCs w:val="24"/>
              </w:rPr>
            </w:pPr>
            <w:r w:rsidRPr="006A5B1B">
              <w:rPr>
                <w:rFonts w:ascii="Arial" w:hAnsi="Arial" w:cs="Arial"/>
                <w:bCs/>
                <w:color w:val="000000" w:themeColor="text1"/>
                <w:sz w:val="24"/>
                <w:szCs w:val="24"/>
              </w:rPr>
              <w:t>Annahme und Dokumentation der Beschwerde</w:t>
            </w:r>
          </w:p>
        </w:tc>
        <w:tc>
          <w:tcPr>
            <w:tcW w:w="7999" w:type="dxa"/>
          </w:tcPr>
          <w:p w14:paraId="0C9FD817" w14:textId="77777777" w:rsidR="006A5B1B" w:rsidRPr="006A5B1B" w:rsidRDefault="006A5B1B" w:rsidP="006A5B1B">
            <w:pPr>
              <w:spacing w:before="120" w:after="120"/>
              <w:rPr>
                <w:rFonts w:ascii="Arial" w:hAnsi="Arial" w:cs="Arial"/>
                <w:bCs/>
                <w:color w:val="000000" w:themeColor="text1"/>
                <w:sz w:val="24"/>
                <w:szCs w:val="24"/>
              </w:rPr>
            </w:pPr>
            <w:r w:rsidRPr="006A5B1B">
              <w:rPr>
                <w:rFonts w:ascii="Arial" w:hAnsi="Arial" w:cs="Arial"/>
                <w:bCs/>
                <w:color w:val="000000" w:themeColor="text1"/>
                <w:sz w:val="24"/>
                <w:szCs w:val="24"/>
              </w:rPr>
              <w:t>Die Beschwerde wird von jedem Mitarbeitenden freundlich angenommen. Der Beschwerdesteller erhält direkt eine Information, ob eine Sofortmaßnahme umgesetzt wird oder ob die Beschwerde weitergeleitet wird. Die Sofortmaßnahme wird umgesetzt.</w:t>
            </w:r>
          </w:p>
        </w:tc>
      </w:tr>
      <w:tr w:rsidR="006A5B1B" w:rsidRPr="006A5B1B" w14:paraId="0807BD14" w14:textId="77777777" w:rsidTr="006A5B1B">
        <w:trPr>
          <w:jc w:val="center"/>
        </w:trPr>
        <w:tc>
          <w:tcPr>
            <w:tcW w:w="2486" w:type="dxa"/>
          </w:tcPr>
          <w:p w14:paraId="68DCED6C" w14:textId="77777777" w:rsidR="006A5B1B" w:rsidRPr="006A5B1B" w:rsidRDefault="006A5B1B" w:rsidP="006A5B1B">
            <w:pPr>
              <w:spacing w:before="120" w:after="120"/>
              <w:rPr>
                <w:rFonts w:ascii="Arial" w:hAnsi="Arial" w:cs="Arial"/>
                <w:bCs/>
                <w:color w:val="000000" w:themeColor="text1"/>
                <w:sz w:val="24"/>
                <w:szCs w:val="24"/>
              </w:rPr>
            </w:pPr>
          </w:p>
        </w:tc>
        <w:tc>
          <w:tcPr>
            <w:tcW w:w="7999" w:type="dxa"/>
          </w:tcPr>
          <w:p w14:paraId="7E8D266A" w14:textId="77777777" w:rsidR="006A5B1B" w:rsidRPr="006A5B1B" w:rsidRDefault="006A5B1B" w:rsidP="006A5B1B">
            <w:pPr>
              <w:spacing w:before="120" w:after="120"/>
              <w:rPr>
                <w:rFonts w:ascii="Arial" w:hAnsi="Arial" w:cs="Arial"/>
                <w:bCs/>
                <w:color w:val="000000" w:themeColor="text1"/>
                <w:sz w:val="24"/>
                <w:szCs w:val="24"/>
              </w:rPr>
            </w:pPr>
            <w:r w:rsidRPr="006A5B1B">
              <w:rPr>
                <w:rFonts w:ascii="Arial" w:hAnsi="Arial" w:cs="Arial"/>
                <w:bCs/>
                <w:color w:val="000000" w:themeColor="text1"/>
                <w:sz w:val="24"/>
                <w:szCs w:val="24"/>
              </w:rPr>
              <w:t xml:space="preserve">Die Beschwerde wird auf dem dafür vorgesehenen Formular dokumentiert. Wenn eine Sofortmaßnahme ausreicht, um den Beschwerdegrund abzustellen, wird die Beschwerde direkt abgeschlossen und das Formular an den bzw. die QB weitergeleitet. </w:t>
            </w:r>
          </w:p>
        </w:tc>
      </w:tr>
      <w:tr w:rsidR="006A5B1B" w:rsidRPr="006A5B1B" w14:paraId="4E93909C" w14:textId="77777777" w:rsidTr="006A5B1B">
        <w:trPr>
          <w:jc w:val="center"/>
        </w:trPr>
        <w:tc>
          <w:tcPr>
            <w:tcW w:w="2486" w:type="dxa"/>
          </w:tcPr>
          <w:p w14:paraId="2BED5274" w14:textId="77777777" w:rsidR="006A5B1B" w:rsidRPr="006A5B1B" w:rsidRDefault="006A5B1B" w:rsidP="006A5B1B">
            <w:pPr>
              <w:spacing w:before="120" w:after="120"/>
              <w:rPr>
                <w:rFonts w:ascii="Arial" w:hAnsi="Arial" w:cs="Arial"/>
                <w:bCs/>
                <w:color w:val="000000" w:themeColor="text1"/>
                <w:sz w:val="24"/>
                <w:szCs w:val="24"/>
              </w:rPr>
            </w:pPr>
            <w:r w:rsidRPr="006A5B1B">
              <w:rPr>
                <w:rFonts w:ascii="Arial" w:hAnsi="Arial" w:cs="Arial"/>
                <w:bCs/>
                <w:color w:val="000000" w:themeColor="text1"/>
                <w:sz w:val="24"/>
                <w:szCs w:val="24"/>
              </w:rPr>
              <w:t>Weitergabe an Verantwortliche</w:t>
            </w:r>
          </w:p>
        </w:tc>
        <w:tc>
          <w:tcPr>
            <w:tcW w:w="7999" w:type="dxa"/>
          </w:tcPr>
          <w:p w14:paraId="4A80E9BB" w14:textId="77777777" w:rsidR="006A5B1B" w:rsidRPr="006A5B1B" w:rsidRDefault="006A5B1B" w:rsidP="006A5B1B">
            <w:pPr>
              <w:spacing w:before="120" w:after="120"/>
              <w:rPr>
                <w:rFonts w:ascii="Arial" w:hAnsi="Arial" w:cs="Arial"/>
                <w:bCs/>
                <w:color w:val="000000" w:themeColor="text1"/>
                <w:sz w:val="24"/>
                <w:szCs w:val="24"/>
              </w:rPr>
            </w:pPr>
            <w:r w:rsidRPr="006A5B1B">
              <w:rPr>
                <w:rFonts w:ascii="Arial" w:hAnsi="Arial" w:cs="Arial"/>
                <w:bCs/>
                <w:color w:val="000000" w:themeColor="text1"/>
                <w:sz w:val="24"/>
                <w:szCs w:val="24"/>
              </w:rPr>
              <w:t>Das Formular wird an die zuständige Leitung des betroffenen Fachbereichs weitergeleitet.</w:t>
            </w:r>
          </w:p>
        </w:tc>
      </w:tr>
      <w:tr w:rsidR="006A5B1B" w:rsidRPr="006A5B1B" w14:paraId="5F150381" w14:textId="77777777" w:rsidTr="006A5B1B">
        <w:trPr>
          <w:jc w:val="center"/>
        </w:trPr>
        <w:tc>
          <w:tcPr>
            <w:tcW w:w="2486" w:type="dxa"/>
          </w:tcPr>
          <w:p w14:paraId="0E1F9D2C" w14:textId="77777777" w:rsidR="006A5B1B" w:rsidRPr="006A5B1B" w:rsidRDefault="006A5B1B" w:rsidP="006A5B1B">
            <w:pPr>
              <w:spacing w:before="120" w:after="120"/>
              <w:rPr>
                <w:rFonts w:ascii="Arial" w:hAnsi="Arial" w:cs="Arial"/>
                <w:bCs/>
                <w:color w:val="000000" w:themeColor="text1"/>
                <w:sz w:val="24"/>
                <w:szCs w:val="24"/>
              </w:rPr>
            </w:pPr>
            <w:r w:rsidRPr="006A5B1B">
              <w:rPr>
                <w:rFonts w:ascii="Arial" w:hAnsi="Arial" w:cs="Arial"/>
                <w:bCs/>
                <w:color w:val="000000" w:themeColor="text1"/>
                <w:sz w:val="24"/>
                <w:szCs w:val="24"/>
              </w:rPr>
              <w:t>Erarbeitung eines Lösungsansatzes</w:t>
            </w:r>
          </w:p>
        </w:tc>
        <w:tc>
          <w:tcPr>
            <w:tcW w:w="7999" w:type="dxa"/>
          </w:tcPr>
          <w:p w14:paraId="6DDD550F" w14:textId="77777777" w:rsidR="006A5B1B" w:rsidRPr="006A5B1B" w:rsidRDefault="006A5B1B" w:rsidP="006A5B1B">
            <w:pPr>
              <w:spacing w:before="120" w:after="120"/>
              <w:rPr>
                <w:rFonts w:ascii="Arial" w:hAnsi="Arial" w:cs="Arial"/>
                <w:bCs/>
                <w:color w:val="000000" w:themeColor="text1"/>
                <w:sz w:val="24"/>
                <w:szCs w:val="24"/>
              </w:rPr>
            </w:pPr>
            <w:r w:rsidRPr="006A5B1B">
              <w:rPr>
                <w:rFonts w:ascii="Arial" w:hAnsi="Arial" w:cs="Arial"/>
                <w:bCs/>
                <w:color w:val="000000" w:themeColor="text1"/>
                <w:sz w:val="24"/>
                <w:szCs w:val="24"/>
              </w:rPr>
              <w:t>Innerhalb des Bereiches wird eine Lösung erarbeitet. Bei langwierigen Maßnahmen, die eine Anpassung der Prozessabläufe erfordern, wird hierzu ggf. ein Qualitätszirkel gebildet.</w:t>
            </w:r>
          </w:p>
        </w:tc>
      </w:tr>
      <w:tr w:rsidR="006A5B1B" w:rsidRPr="006A5B1B" w14:paraId="4A554BC4" w14:textId="77777777" w:rsidTr="006A5B1B">
        <w:trPr>
          <w:jc w:val="center"/>
        </w:trPr>
        <w:tc>
          <w:tcPr>
            <w:tcW w:w="2486" w:type="dxa"/>
          </w:tcPr>
          <w:p w14:paraId="44344ACC" w14:textId="77777777" w:rsidR="006A5B1B" w:rsidRPr="006A5B1B" w:rsidRDefault="006A5B1B" w:rsidP="006A5B1B">
            <w:pPr>
              <w:spacing w:before="120" w:after="120"/>
              <w:rPr>
                <w:rFonts w:ascii="Arial" w:hAnsi="Arial" w:cs="Arial"/>
                <w:bCs/>
                <w:color w:val="000000" w:themeColor="text1"/>
                <w:sz w:val="24"/>
                <w:szCs w:val="24"/>
              </w:rPr>
            </w:pPr>
            <w:r w:rsidRPr="006A5B1B">
              <w:rPr>
                <w:rFonts w:ascii="Arial" w:hAnsi="Arial" w:cs="Arial"/>
                <w:bCs/>
                <w:color w:val="000000" w:themeColor="text1"/>
                <w:sz w:val="24"/>
                <w:szCs w:val="24"/>
              </w:rPr>
              <w:t>Rückmeldung an Beschwerdesteller</w:t>
            </w:r>
          </w:p>
        </w:tc>
        <w:tc>
          <w:tcPr>
            <w:tcW w:w="7999" w:type="dxa"/>
          </w:tcPr>
          <w:p w14:paraId="25265345" w14:textId="77777777" w:rsidR="006A5B1B" w:rsidRPr="006A5B1B" w:rsidRDefault="006A5B1B" w:rsidP="006A5B1B">
            <w:pPr>
              <w:spacing w:before="120" w:after="120"/>
              <w:rPr>
                <w:rFonts w:ascii="Arial" w:hAnsi="Arial" w:cs="Arial"/>
                <w:bCs/>
                <w:color w:val="000000" w:themeColor="text1"/>
                <w:sz w:val="24"/>
                <w:szCs w:val="24"/>
              </w:rPr>
            </w:pPr>
            <w:r w:rsidRPr="006A5B1B">
              <w:rPr>
                <w:rFonts w:ascii="Arial" w:hAnsi="Arial" w:cs="Arial"/>
                <w:bCs/>
                <w:color w:val="000000" w:themeColor="text1"/>
                <w:sz w:val="24"/>
                <w:szCs w:val="24"/>
              </w:rPr>
              <w:t>Der Beschwerdesteller erhält eine schriftliche Rückmeldung, wenn seine Beschwerde bearbeitet wurde. Wenn die Bearbeitung eine längere Zeit in Anspruch nimmt, wird der Beschwerdesteller auch hierüber informiert. Wenn die Beschwerde nicht abgeschlossen werden kann, erfolgt ebenso eine Information.</w:t>
            </w:r>
          </w:p>
        </w:tc>
      </w:tr>
      <w:tr w:rsidR="006A5B1B" w:rsidRPr="006A5B1B" w14:paraId="34727249" w14:textId="77777777" w:rsidTr="006A5B1B">
        <w:trPr>
          <w:jc w:val="center"/>
        </w:trPr>
        <w:tc>
          <w:tcPr>
            <w:tcW w:w="2486" w:type="dxa"/>
          </w:tcPr>
          <w:p w14:paraId="454885E7" w14:textId="77777777" w:rsidR="006A5B1B" w:rsidRPr="006A5B1B" w:rsidRDefault="006A5B1B" w:rsidP="006A5B1B">
            <w:pPr>
              <w:spacing w:before="120" w:after="120"/>
              <w:rPr>
                <w:rFonts w:ascii="Arial" w:hAnsi="Arial" w:cs="Arial"/>
                <w:bCs/>
                <w:color w:val="000000" w:themeColor="text1"/>
                <w:sz w:val="24"/>
                <w:szCs w:val="24"/>
              </w:rPr>
            </w:pPr>
            <w:r w:rsidRPr="006A5B1B">
              <w:rPr>
                <w:rFonts w:ascii="Arial" w:hAnsi="Arial" w:cs="Arial"/>
                <w:bCs/>
                <w:color w:val="000000" w:themeColor="text1"/>
                <w:sz w:val="24"/>
                <w:szCs w:val="24"/>
              </w:rPr>
              <w:t>Information an Mitarbeiter</w:t>
            </w:r>
          </w:p>
        </w:tc>
        <w:tc>
          <w:tcPr>
            <w:tcW w:w="7999" w:type="dxa"/>
          </w:tcPr>
          <w:p w14:paraId="0A45D7BF" w14:textId="77777777" w:rsidR="006A5B1B" w:rsidRPr="006A5B1B" w:rsidRDefault="006A5B1B" w:rsidP="006A5B1B">
            <w:pPr>
              <w:spacing w:before="120" w:after="120"/>
              <w:rPr>
                <w:rFonts w:ascii="Arial" w:hAnsi="Arial" w:cs="Arial"/>
                <w:bCs/>
                <w:color w:val="000000" w:themeColor="text1"/>
                <w:sz w:val="24"/>
                <w:szCs w:val="24"/>
              </w:rPr>
            </w:pPr>
            <w:r w:rsidRPr="006A5B1B">
              <w:rPr>
                <w:rFonts w:ascii="Arial" w:hAnsi="Arial" w:cs="Arial"/>
                <w:bCs/>
                <w:color w:val="000000" w:themeColor="text1"/>
                <w:sz w:val="24"/>
                <w:szCs w:val="24"/>
              </w:rPr>
              <w:t>Die Mitarbeitenden werden über umzusetzende Maßnahmen informiert. Darüber hinaus werden sie in den Teamsitzungen über Beschwerdehäufungen und kritische Beschwerden unterrichtet.</w:t>
            </w:r>
          </w:p>
        </w:tc>
      </w:tr>
      <w:tr w:rsidR="006A5B1B" w:rsidRPr="006A5B1B" w14:paraId="6DFB84E1" w14:textId="77777777" w:rsidTr="006A5B1B">
        <w:trPr>
          <w:jc w:val="center"/>
        </w:trPr>
        <w:tc>
          <w:tcPr>
            <w:tcW w:w="2486" w:type="dxa"/>
          </w:tcPr>
          <w:p w14:paraId="25972154" w14:textId="77777777" w:rsidR="006A5B1B" w:rsidRPr="006A5B1B" w:rsidRDefault="006A5B1B" w:rsidP="006A5B1B">
            <w:pPr>
              <w:spacing w:before="120" w:after="120"/>
              <w:rPr>
                <w:rFonts w:ascii="Arial" w:hAnsi="Arial" w:cs="Arial"/>
                <w:bCs/>
                <w:color w:val="000000" w:themeColor="text1"/>
                <w:sz w:val="24"/>
                <w:szCs w:val="24"/>
              </w:rPr>
            </w:pPr>
            <w:r w:rsidRPr="006A5B1B">
              <w:rPr>
                <w:rFonts w:ascii="Arial" w:hAnsi="Arial" w:cs="Arial"/>
                <w:bCs/>
                <w:color w:val="000000" w:themeColor="text1"/>
                <w:sz w:val="24"/>
                <w:szCs w:val="24"/>
              </w:rPr>
              <w:t>Wirksamkeitsprüfung der Maßnahme</w:t>
            </w:r>
          </w:p>
        </w:tc>
        <w:tc>
          <w:tcPr>
            <w:tcW w:w="7999" w:type="dxa"/>
          </w:tcPr>
          <w:p w14:paraId="31E65FF2" w14:textId="77777777" w:rsidR="006A5B1B" w:rsidRPr="006A5B1B" w:rsidRDefault="006A5B1B" w:rsidP="006A5B1B">
            <w:pPr>
              <w:spacing w:before="120" w:after="120"/>
              <w:rPr>
                <w:rFonts w:ascii="Arial" w:hAnsi="Arial" w:cs="Arial"/>
                <w:bCs/>
                <w:color w:val="000000" w:themeColor="text1"/>
                <w:sz w:val="24"/>
                <w:szCs w:val="24"/>
              </w:rPr>
            </w:pPr>
            <w:r w:rsidRPr="006A5B1B">
              <w:rPr>
                <w:rFonts w:ascii="Arial" w:hAnsi="Arial" w:cs="Arial"/>
                <w:bCs/>
                <w:color w:val="000000" w:themeColor="text1"/>
                <w:sz w:val="24"/>
                <w:szCs w:val="24"/>
              </w:rPr>
              <w:t>Nach einer festgelegten Frist wird überprüft, ob die beschossene Maßnahme den gewünschten Erfolg zeigt. Wenn nicht, wird über umzusetzende neue Maßnahmen entschieden.</w:t>
            </w:r>
          </w:p>
        </w:tc>
      </w:tr>
      <w:tr w:rsidR="006A5B1B" w:rsidRPr="006A5B1B" w14:paraId="54538ACD" w14:textId="77777777" w:rsidTr="006A5B1B">
        <w:trPr>
          <w:jc w:val="center"/>
        </w:trPr>
        <w:tc>
          <w:tcPr>
            <w:tcW w:w="2486" w:type="dxa"/>
          </w:tcPr>
          <w:p w14:paraId="65258DE4" w14:textId="77777777" w:rsidR="006A5B1B" w:rsidRPr="006A5B1B" w:rsidRDefault="006A5B1B" w:rsidP="006A5B1B">
            <w:pPr>
              <w:spacing w:before="120" w:after="120"/>
              <w:rPr>
                <w:rFonts w:ascii="Arial" w:hAnsi="Arial" w:cs="Arial"/>
                <w:bCs/>
                <w:color w:val="000000" w:themeColor="text1"/>
                <w:sz w:val="24"/>
                <w:szCs w:val="24"/>
              </w:rPr>
            </w:pPr>
            <w:r w:rsidRPr="006A5B1B">
              <w:rPr>
                <w:rFonts w:ascii="Arial" w:hAnsi="Arial" w:cs="Arial"/>
                <w:bCs/>
                <w:color w:val="000000" w:themeColor="text1"/>
                <w:sz w:val="24"/>
                <w:szCs w:val="24"/>
              </w:rPr>
              <w:t>Eingabe in die Statistik</w:t>
            </w:r>
          </w:p>
        </w:tc>
        <w:tc>
          <w:tcPr>
            <w:tcW w:w="7999" w:type="dxa"/>
          </w:tcPr>
          <w:p w14:paraId="51E25BAE" w14:textId="76B78D73" w:rsidR="006A5B1B" w:rsidRPr="006A5B1B" w:rsidRDefault="006A5B1B" w:rsidP="006A5B1B">
            <w:pPr>
              <w:spacing w:before="120" w:after="120"/>
              <w:rPr>
                <w:rFonts w:ascii="Arial" w:hAnsi="Arial" w:cs="Arial"/>
                <w:bCs/>
                <w:color w:val="000000" w:themeColor="text1"/>
                <w:sz w:val="24"/>
                <w:szCs w:val="24"/>
              </w:rPr>
            </w:pPr>
            <w:r w:rsidRPr="006A5B1B">
              <w:rPr>
                <w:rFonts w:ascii="Arial" w:hAnsi="Arial" w:cs="Arial"/>
                <w:bCs/>
                <w:color w:val="000000" w:themeColor="text1"/>
                <w:sz w:val="24"/>
                <w:szCs w:val="24"/>
              </w:rPr>
              <w:t>Alle Beschwerden werden quartalsweise ausgewertet. Kriterien sind: Häufungen und kritische Beschwerden. Als kritisch werden Beschwerden eingestuft, deren Ursachen zu Gefahren für</w:t>
            </w:r>
          </w:p>
          <w:p w14:paraId="73E411ED" w14:textId="77777777" w:rsidR="006A5B1B" w:rsidRPr="006A5B1B" w:rsidRDefault="006A5B1B" w:rsidP="006A5B1B">
            <w:pPr>
              <w:pStyle w:val="Listenabsatz"/>
              <w:numPr>
                <w:ilvl w:val="0"/>
                <w:numId w:val="24"/>
              </w:numPr>
              <w:spacing w:before="120" w:after="120" w:line="276" w:lineRule="auto"/>
              <w:rPr>
                <w:rFonts w:ascii="Arial" w:eastAsia="Calibri" w:hAnsi="Arial" w:cs="Arial"/>
                <w:color w:val="000000" w:themeColor="text1"/>
                <w:sz w:val="24"/>
              </w:rPr>
            </w:pPr>
            <w:r w:rsidRPr="006A5B1B">
              <w:rPr>
                <w:rFonts w:ascii="Arial" w:eastAsia="Calibri" w:hAnsi="Arial" w:cs="Arial"/>
                <w:color w:val="000000" w:themeColor="text1"/>
                <w:sz w:val="24"/>
              </w:rPr>
              <w:t>die Gesundheit,</w:t>
            </w:r>
          </w:p>
          <w:p w14:paraId="0F90AAA2" w14:textId="77777777" w:rsidR="006A5B1B" w:rsidRPr="006A5B1B" w:rsidRDefault="006A5B1B" w:rsidP="006A5B1B">
            <w:pPr>
              <w:pStyle w:val="Listenabsatz"/>
              <w:numPr>
                <w:ilvl w:val="0"/>
                <w:numId w:val="24"/>
              </w:numPr>
              <w:spacing w:before="120" w:after="120" w:line="276" w:lineRule="auto"/>
              <w:rPr>
                <w:rFonts w:ascii="Arial" w:eastAsia="Calibri" w:hAnsi="Arial" w:cs="Arial"/>
                <w:color w:val="000000" w:themeColor="text1"/>
                <w:sz w:val="24"/>
              </w:rPr>
            </w:pPr>
            <w:r w:rsidRPr="006A5B1B">
              <w:rPr>
                <w:rFonts w:ascii="Arial" w:eastAsia="Calibri" w:hAnsi="Arial" w:cs="Arial"/>
                <w:color w:val="000000" w:themeColor="text1"/>
                <w:sz w:val="24"/>
              </w:rPr>
              <w:t xml:space="preserve">das Image der Einrichtung </w:t>
            </w:r>
          </w:p>
          <w:p w14:paraId="3BEED44E" w14:textId="77777777" w:rsidR="006A5B1B" w:rsidRPr="006A5B1B" w:rsidRDefault="006A5B1B" w:rsidP="006A5B1B">
            <w:pPr>
              <w:pStyle w:val="Listenabsatz"/>
              <w:numPr>
                <w:ilvl w:val="0"/>
                <w:numId w:val="24"/>
              </w:numPr>
              <w:spacing w:before="120" w:after="120" w:line="276" w:lineRule="auto"/>
              <w:rPr>
                <w:rFonts w:ascii="Arial" w:eastAsia="Calibri" w:hAnsi="Arial" w:cs="Arial"/>
                <w:color w:val="000000" w:themeColor="text1"/>
                <w:sz w:val="24"/>
              </w:rPr>
            </w:pPr>
            <w:r w:rsidRPr="006A5B1B">
              <w:rPr>
                <w:rFonts w:ascii="Arial" w:eastAsia="Calibri" w:hAnsi="Arial" w:cs="Arial"/>
                <w:color w:val="000000" w:themeColor="text1"/>
                <w:sz w:val="24"/>
              </w:rPr>
              <w:t xml:space="preserve">oder deren betriebswirtschaftlichen Erfolg führen können. </w:t>
            </w:r>
          </w:p>
        </w:tc>
      </w:tr>
    </w:tbl>
    <w:p w14:paraId="3D1379D4" w14:textId="77777777" w:rsidR="006A5B1B" w:rsidRPr="003B2898" w:rsidRDefault="006A5B1B" w:rsidP="003B2898">
      <w:pPr>
        <w:spacing w:before="120" w:after="120"/>
        <w:rPr>
          <w:rFonts w:ascii="Arial" w:hAnsi="Arial" w:cs="Arial"/>
          <w:bCs/>
          <w:color w:val="000000" w:themeColor="text1"/>
          <w:sz w:val="24"/>
          <w:szCs w:val="24"/>
        </w:rPr>
      </w:pPr>
    </w:p>
    <w:sectPr w:rsidR="006A5B1B" w:rsidRPr="003B2898" w:rsidSect="00BB3C47">
      <w:headerReference w:type="default" r:id="rId9"/>
      <w:pgSz w:w="11906" w:h="16838" w:code="9"/>
      <w:pgMar w:top="-284" w:right="141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BC308" w14:textId="77777777" w:rsidR="000C03BB" w:rsidRDefault="000C03BB" w:rsidP="002A5D13">
      <w:pPr>
        <w:spacing w:after="0" w:line="240" w:lineRule="auto"/>
      </w:pPr>
      <w:r>
        <w:separator/>
      </w:r>
    </w:p>
  </w:endnote>
  <w:endnote w:type="continuationSeparator" w:id="0">
    <w:p w14:paraId="0D1793FA" w14:textId="77777777" w:rsidR="000C03BB" w:rsidRDefault="000C03BB"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egreya Sans">
    <w:altName w:val="Alegreya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8E85" w14:textId="77777777" w:rsidR="000C03BB" w:rsidRDefault="000C03BB" w:rsidP="002A5D13">
      <w:pPr>
        <w:spacing w:after="0" w:line="240" w:lineRule="auto"/>
      </w:pPr>
      <w:r>
        <w:separator/>
      </w:r>
    </w:p>
  </w:footnote>
  <w:footnote w:type="continuationSeparator" w:id="0">
    <w:p w14:paraId="5886C161" w14:textId="77777777" w:rsidR="000C03BB" w:rsidRDefault="000C03BB"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3D030942" w14:textId="77777777" w:rsidTr="005A461E">
      <w:tc>
        <w:tcPr>
          <w:tcW w:w="1500" w:type="pct"/>
          <w:tcBorders>
            <w:bottom w:val="single" w:sz="4" w:space="0" w:color="auto"/>
          </w:tcBorders>
          <w:shd w:val="clear" w:color="auto" w:fill="3480C6"/>
          <w:vAlign w:val="center"/>
        </w:tcPr>
        <w:p w14:paraId="1541640F" w14:textId="6CD2C0F7" w:rsidR="007A7CA7" w:rsidRPr="007A7CA7" w:rsidRDefault="00ED3984" w:rsidP="006E0BDB">
          <w:pPr>
            <w:pStyle w:val="Kopfzeile"/>
            <w:jc w:val="center"/>
            <w:rPr>
              <w:b/>
              <w:color w:val="FFFFFF"/>
            </w:rPr>
          </w:pPr>
          <w:r>
            <w:rPr>
              <w:b/>
              <w:color w:val="FFFFFF"/>
              <w:sz w:val="24"/>
            </w:rPr>
            <w:t>Ausgabe 0</w:t>
          </w:r>
          <w:r w:rsidR="00BB3C47">
            <w:rPr>
              <w:b/>
              <w:color w:val="FFFFFF"/>
              <w:sz w:val="24"/>
            </w:rPr>
            <w:t>6</w:t>
          </w:r>
          <w:r w:rsidR="007A7CA7" w:rsidRPr="007A7CA7">
            <w:rPr>
              <w:b/>
              <w:color w:val="FFFFFF"/>
              <w:sz w:val="24"/>
            </w:rPr>
            <w:t xml:space="preserve"> - 20</w:t>
          </w:r>
          <w:r w:rsidR="00696A92">
            <w:rPr>
              <w:b/>
              <w:color w:val="FFFFFF"/>
              <w:sz w:val="24"/>
            </w:rPr>
            <w:t>2</w:t>
          </w:r>
          <w:r w:rsidR="00DB146B">
            <w:rPr>
              <w:b/>
              <w:color w:val="FFFFFF"/>
              <w:sz w:val="24"/>
            </w:rPr>
            <w:t>3</w:t>
          </w:r>
        </w:p>
      </w:tc>
      <w:tc>
        <w:tcPr>
          <w:tcW w:w="4000" w:type="pct"/>
          <w:tcBorders>
            <w:bottom w:val="single" w:sz="4" w:space="0" w:color="auto"/>
          </w:tcBorders>
          <w:vAlign w:val="bottom"/>
        </w:tcPr>
        <w:p w14:paraId="08A8564A" w14:textId="408FC76F" w:rsidR="007A7CA7" w:rsidRPr="007A7CA7" w:rsidRDefault="00696A92" w:rsidP="005A461E">
          <w:pPr>
            <w:pStyle w:val="Kopfzeile"/>
            <w:jc w:val="center"/>
            <w:rPr>
              <w:color w:val="000000"/>
              <w:sz w:val="24"/>
            </w:rPr>
          </w:pPr>
          <w:r w:rsidRPr="006E1553">
            <w:rPr>
              <w:rFonts w:ascii="Arial" w:hAnsi="Arial" w:cs="Arial"/>
              <w:b/>
              <w:noProof/>
              <w:color w:val="000000"/>
              <w:sz w:val="24"/>
              <w:lang w:eastAsia="de-DE"/>
            </w:rPr>
            <w:drawing>
              <wp:inline distT="0" distB="0" distL="0" distR="0" wp14:anchorId="02A1650F" wp14:editId="69000369">
                <wp:extent cx="2169160" cy="723265"/>
                <wp:effectExtent l="0" t="0" r="0" b="0"/>
                <wp:docPr id="428411969" name="Grafik 428411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160" cy="723265"/>
                        </a:xfrm>
                        <a:prstGeom prst="rect">
                          <a:avLst/>
                        </a:prstGeom>
                        <a:noFill/>
                        <a:ln>
                          <a:noFill/>
                        </a:ln>
                      </pic:spPr>
                    </pic:pic>
                  </a:graphicData>
                </a:graphic>
              </wp:inline>
            </w:drawing>
          </w:r>
        </w:p>
      </w:tc>
    </w:tr>
  </w:tbl>
  <w:p w14:paraId="3887018B" w14:textId="77777777" w:rsidR="007A7CA7" w:rsidRDefault="007A7CA7">
    <w:pPr>
      <w:pStyle w:val="Kopfzeile"/>
    </w:pPr>
  </w:p>
  <w:p w14:paraId="2E52FFCC"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1407BF"/>
    <w:multiLevelType w:val="hybridMultilevel"/>
    <w:tmpl w:val="A60EE6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1D8466B"/>
    <w:multiLevelType w:val="hybridMultilevel"/>
    <w:tmpl w:val="7A00DA8A"/>
    <w:lvl w:ilvl="0" w:tplc="A8AA1882">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600604190">
    <w:abstractNumId w:val="9"/>
  </w:num>
  <w:num w:numId="2" w16cid:durableId="1456217558">
    <w:abstractNumId w:val="19"/>
  </w:num>
  <w:num w:numId="3" w16cid:durableId="1803574363">
    <w:abstractNumId w:val="23"/>
  </w:num>
  <w:num w:numId="4" w16cid:durableId="1661150236">
    <w:abstractNumId w:val="10"/>
  </w:num>
  <w:num w:numId="5" w16cid:durableId="840630696">
    <w:abstractNumId w:val="6"/>
  </w:num>
  <w:num w:numId="6" w16cid:durableId="1786457857">
    <w:abstractNumId w:val="7"/>
  </w:num>
  <w:num w:numId="7" w16cid:durableId="273442169">
    <w:abstractNumId w:val="12"/>
  </w:num>
  <w:num w:numId="8" w16cid:durableId="1239441314">
    <w:abstractNumId w:val="11"/>
  </w:num>
  <w:num w:numId="9" w16cid:durableId="1978216536">
    <w:abstractNumId w:val="8"/>
  </w:num>
  <w:num w:numId="10" w16cid:durableId="646931857">
    <w:abstractNumId w:val="5"/>
  </w:num>
  <w:num w:numId="11" w16cid:durableId="1137146208">
    <w:abstractNumId w:val="20"/>
  </w:num>
  <w:num w:numId="12" w16cid:durableId="1204052296">
    <w:abstractNumId w:val="14"/>
  </w:num>
  <w:num w:numId="13" w16cid:durableId="1106383001">
    <w:abstractNumId w:val="15"/>
  </w:num>
  <w:num w:numId="14" w16cid:durableId="793400410">
    <w:abstractNumId w:val="13"/>
  </w:num>
  <w:num w:numId="15" w16cid:durableId="170730696">
    <w:abstractNumId w:val="16"/>
  </w:num>
  <w:num w:numId="16" w16cid:durableId="1470124009">
    <w:abstractNumId w:val="17"/>
  </w:num>
  <w:num w:numId="17" w16cid:durableId="1016734673">
    <w:abstractNumId w:val="18"/>
  </w:num>
  <w:num w:numId="18" w16cid:durableId="1796101997">
    <w:abstractNumId w:val="4"/>
  </w:num>
  <w:num w:numId="19" w16cid:durableId="1924483445">
    <w:abstractNumId w:val="3"/>
  </w:num>
  <w:num w:numId="20" w16cid:durableId="2132623539">
    <w:abstractNumId w:val="2"/>
  </w:num>
  <w:num w:numId="21" w16cid:durableId="1909261134">
    <w:abstractNumId w:val="1"/>
  </w:num>
  <w:num w:numId="22" w16cid:durableId="339436213">
    <w:abstractNumId w:val="0"/>
  </w:num>
  <w:num w:numId="23" w16cid:durableId="1153256058">
    <w:abstractNumId w:val="22"/>
  </w:num>
  <w:num w:numId="24" w16cid:durableId="123906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70D06"/>
    <w:rsid w:val="00081933"/>
    <w:rsid w:val="000A7B82"/>
    <w:rsid w:val="000B50CC"/>
    <w:rsid w:val="000C03BB"/>
    <w:rsid w:val="000C6A2D"/>
    <w:rsid w:val="000E0582"/>
    <w:rsid w:val="0015409B"/>
    <w:rsid w:val="001B429B"/>
    <w:rsid w:val="00205D0C"/>
    <w:rsid w:val="00247E00"/>
    <w:rsid w:val="0027096C"/>
    <w:rsid w:val="002766CF"/>
    <w:rsid w:val="0028515F"/>
    <w:rsid w:val="002A5D13"/>
    <w:rsid w:val="002B029B"/>
    <w:rsid w:val="002B4419"/>
    <w:rsid w:val="002D45E4"/>
    <w:rsid w:val="002E4378"/>
    <w:rsid w:val="002F735B"/>
    <w:rsid w:val="002F7B4F"/>
    <w:rsid w:val="003676E3"/>
    <w:rsid w:val="00380EF0"/>
    <w:rsid w:val="003B1C00"/>
    <w:rsid w:val="003B2898"/>
    <w:rsid w:val="003E3400"/>
    <w:rsid w:val="00433F51"/>
    <w:rsid w:val="004639C0"/>
    <w:rsid w:val="004955F6"/>
    <w:rsid w:val="004A47F9"/>
    <w:rsid w:val="004B6C90"/>
    <w:rsid w:val="004C2396"/>
    <w:rsid w:val="0050689E"/>
    <w:rsid w:val="00551B88"/>
    <w:rsid w:val="00587D31"/>
    <w:rsid w:val="005A0C69"/>
    <w:rsid w:val="005A461E"/>
    <w:rsid w:val="005E1850"/>
    <w:rsid w:val="00606AB2"/>
    <w:rsid w:val="00614D0A"/>
    <w:rsid w:val="00653E72"/>
    <w:rsid w:val="00661981"/>
    <w:rsid w:val="00696A92"/>
    <w:rsid w:val="006A5B1B"/>
    <w:rsid w:val="006A5CFE"/>
    <w:rsid w:val="006E0BDB"/>
    <w:rsid w:val="006E18EF"/>
    <w:rsid w:val="00782522"/>
    <w:rsid w:val="007A7CA7"/>
    <w:rsid w:val="007B0290"/>
    <w:rsid w:val="007C0AE5"/>
    <w:rsid w:val="007E1A2E"/>
    <w:rsid w:val="00811578"/>
    <w:rsid w:val="00831E73"/>
    <w:rsid w:val="00841FA8"/>
    <w:rsid w:val="00852BFB"/>
    <w:rsid w:val="008633AC"/>
    <w:rsid w:val="00887070"/>
    <w:rsid w:val="008B1F83"/>
    <w:rsid w:val="008D079C"/>
    <w:rsid w:val="008E62B1"/>
    <w:rsid w:val="00937B0B"/>
    <w:rsid w:val="009433D9"/>
    <w:rsid w:val="00983536"/>
    <w:rsid w:val="009B721F"/>
    <w:rsid w:val="009F084F"/>
    <w:rsid w:val="00A06C64"/>
    <w:rsid w:val="00AC136E"/>
    <w:rsid w:val="00B01FFE"/>
    <w:rsid w:val="00B42C1E"/>
    <w:rsid w:val="00B707AF"/>
    <w:rsid w:val="00B87D52"/>
    <w:rsid w:val="00BB3C47"/>
    <w:rsid w:val="00BD71E9"/>
    <w:rsid w:val="00C135D1"/>
    <w:rsid w:val="00C310AF"/>
    <w:rsid w:val="00C73E1A"/>
    <w:rsid w:val="00CC38C8"/>
    <w:rsid w:val="00D86187"/>
    <w:rsid w:val="00DB146B"/>
    <w:rsid w:val="00DB32C7"/>
    <w:rsid w:val="00E113DA"/>
    <w:rsid w:val="00E2265E"/>
    <w:rsid w:val="00ED3984"/>
    <w:rsid w:val="00F20663"/>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05C08"/>
  <w15:chartTrackingRefBased/>
  <w15:docId w15:val="{80CA79C6-0582-41D0-B4DB-A10E5E20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Pa15">
    <w:name w:val="Pa15"/>
    <w:basedOn w:val="Standard"/>
    <w:next w:val="Standard"/>
    <w:uiPriority w:val="99"/>
    <w:rsid w:val="00BB3C47"/>
    <w:pPr>
      <w:autoSpaceDE w:val="0"/>
      <w:autoSpaceDN w:val="0"/>
      <w:adjustRightInd w:val="0"/>
      <w:spacing w:after="0" w:line="281" w:lineRule="atLeast"/>
    </w:pPr>
    <w:rPr>
      <w:rFonts w:ascii="Alegreya Sans" w:hAnsi="Alegreya Sans"/>
      <w:sz w:val="24"/>
      <w:szCs w:val="24"/>
      <w:lang w:eastAsia="de-DE"/>
    </w:rPr>
  </w:style>
  <w:style w:type="paragraph" w:customStyle="1" w:styleId="Pa11">
    <w:name w:val="Pa11"/>
    <w:basedOn w:val="Standard"/>
    <w:next w:val="Standard"/>
    <w:uiPriority w:val="99"/>
    <w:rsid w:val="00BB3C47"/>
    <w:pPr>
      <w:autoSpaceDE w:val="0"/>
      <w:autoSpaceDN w:val="0"/>
      <w:adjustRightInd w:val="0"/>
      <w:spacing w:after="0" w:line="201" w:lineRule="atLeast"/>
    </w:pPr>
    <w:rPr>
      <w:rFonts w:ascii="Alegreya Sans" w:hAnsi="Alegreya Sans"/>
      <w:sz w:val="24"/>
      <w:szCs w:val="24"/>
      <w:lang w:eastAsia="de-DE"/>
    </w:rPr>
  </w:style>
  <w:style w:type="paragraph" w:customStyle="1" w:styleId="Pa16">
    <w:name w:val="Pa16"/>
    <w:basedOn w:val="Standard"/>
    <w:next w:val="Standard"/>
    <w:uiPriority w:val="99"/>
    <w:rsid w:val="00BB3C47"/>
    <w:pPr>
      <w:autoSpaceDE w:val="0"/>
      <w:autoSpaceDN w:val="0"/>
      <w:adjustRightInd w:val="0"/>
      <w:spacing w:after="0" w:line="201" w:lineRule="atLeast"/>
    </w:pPr>
    <w:rPr>
      <w:rFonts w:ascii="Alegreya Sans" w:hAnsi="Alegreya Sans"/>
      <w:sz w:val="24"/>
      <w:szCs w:val="24"/>
      <w:lang w:eastAsia="de-DE"/>
    </w:rPr>
  </w:style>
  <w:style w:type="paragraph" w:styleId="Beschriftung">
    <w:name w:val="caption"/>
    <w:basedOn w:val="Standard"/>
    <w:next w:val="Standard"/>
    <w:uiPriority w:val="35"/>
    <w:qFormat/>
    <w:rsid w:val="006A5B1B"/>
    <w:pPr>
      <w:spacing w:line="240" w:lineRule="auto"/>
    </w:pPr>
    <w:rPr>
      <w:rFonts w:ascii="Arial" w:eastAsia="MS Mincho" w:hAnsi="Arial"/>
      <w:b/>
      <w:bCs/>
      <w:color w:val="4F81BD"/>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3E3039-4ABB-4CE4-91AF-66D1F0A55F19}">
  <ds:schemaRefs>
    <ds:schemaRef ds:uri="http://schemas.openxmlformats.org/officeDocument/2006/bibliography"/>
  </ds:schemaRefs>
</ds:datastoreItem>
</file>

<file path=customXml/itemProps3.xml><?xml version="1.0" encoding="utf-8"?>
<ds:datastoreItem xmlns:ds="http://schemas.openxmlformats.org/officeDocument/2006/customXml" ds:itemID="{B85D69A0-3CC2-4AFF-B565-69E1C03B05F1}"/>
</file>

<file path=customXml/itemProps4.xml><?xml version="1.0" encoding="utf-8"?>
<ds:datastoreItem xmlns:ds="http://schemas.openxmlformats.org/officeDocument/2006/customXml" ds:itemID="{8B81BB3F-0D9A-4B84-9CBD-68BD244AEA32}"/>
</file>

<file path=customXml/itemProps5.xml><?xml version="1.0" encoding="utf-8"?>
<ds:datastoreItem xmlns:ds="http://schemas.openxmlformats.org/officeDocument/2006/customXml" ds:itemID="{1ABB1AC1-5D22-4DE1-91E1-73DC6D06BAA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1862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2023-05-09T14:02:00Z</dcterms:created>
  <dcterms:modified xsi:type="dcterms:W3CDTF">2023-05-09T14:02:00Z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