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5605" w14:textId="77777777" w:rsidR="002A5D13" w:rsidRDefault="007A7CA7" w:rsidP="007A7CA7">
      <w:pPr>
        <w:tabs>
          <w:tab w:val="left" w:pos="5280"/>
        </w:tabs>
        <w:rPr>
          <w:b/>
          <w:noProof/>
          <w:lang w:eastAsia="de-DE"/>
        </w:rPr>
      </w:pPr>
      <w:r>
        <w:rPr>
          <w:b/>
          <w:noProof/>
          <w:lang w:eastAsia="de-DE"/>
        </w:rPr>
        <w:tab/>
      </w:r>
    </w:p>
    <w:p w14:paraId="0B8E0063" w14:textId="1C24F4FA" w:rsidR="009F72C3" w:rsidRDefault="007A7CA7" w:rsidP="009F72C3">
      <w:pPr>
        <w:tabs>
          <w:tab w:val="left" w:pos="1365"/>
          <w:tab w:val="left" w:pos="2430"/>
          <w:tab w:val="left" w:pos="4185"/>
          <w:tab w:val="left" w:pos="6900"/>
        </w:tabs>
        <w:rPr>
          <w:rFonts w:ascii="Arial" w:hAnsi="Arial" w:cs="Arial"/>
          <w:color w:val="000000" w:themeColor="text1"/>
          <w:sz w:val="24"/>
        </w:rPr>
      </w:pPr>
      <w:r>
        <w:tab/>
      </w:r>
      <w:r w:rsidR="005E1850">
        <w:tab/>
      </w:r>
      <w:r>
        <w:tab/>
      </w:r>
      <w:r w:rsidR="00B707AF">
        <w:tab/>
      </w:r>
    </w:p>
    <w:p w14:paraId="0C9816D8" w14:textId="0929AB44" w:rsidR="009F72C3" w:rsidRPr="00AC0254" w:rsidRDefault="009F72C3" w:rsidP="009F72C3">
      <w:pPr>
        <w:widowControl w:val="0"/>
        <w:rPr>
          <w:rFonts w:ascii="Arial" w:hAnsi="Arial" w:cs="Arial"/>
          <w:b/>
          <w:color w:val="000000" w:themeColor="text1"/>
        </w:rPr>
      </w:pPr>
    </w:p>
    <w:tbl>
      <w:tblPr>
        <w:tblStyle w:val="Tabellenraster"/>
        <w:tblW w:w="11194" w:type="dxa"/>
        <w:jc w:val="center"/>
        <w:tblLook w:val="04A0" w:firstRow="1" w:lastRow="0" w:firstColumn="1" w:lastColumn="0" w:noHBand="0" w:noVBand="1"/>
      </w:tblPr>
      <w:tblGrid>
        <w:gridCol w:w="2271"/>
        <w:gridCol w:w="8923"/>
      </w:tblGrid>
      <w:tr w:rsidR="009F72C3" w:rsidRPr="009F72C3" w14:paraId="31451DAB" w14:textId="77777777" w:rsidTr="009F72C3">
        <w:trPr>
          <w:jc w:val="center"/>
        </w:trPr>
        <w:tc>
          <w:tcPr>
            <w:tcW w:w="11194" w:type="dxa"/>
            <w:gridSpan w:val="2"/>
            <w:shd w:val="clear" w:color="auto" w:fill="2E75CC"/>
          </w:tcPr>
          <w:p w14:paraId="4FE8CE74" w14:textId="1E9C1158" w:rsidR="009F72C3" w:rsidRPr="009F72C3" w:rsidRDefault="009F72C3" w:rsidP="009F72C3">
            <w:pPr>
              <w:spacing w:before="120" w:after="120"/>
              <w:rPr>
                <w:rFonts w:ascii="Arial" w:hAnsi="Arial" w:cs="Arial"/>
                <w:b/>
                <w:color w:val="FFFFFF"/>
                <w:sz w:val="28"/>
                <w:szCs w:val="28"/>
              </w:rPr>
            </w:pPr>
            <w:r w:rsidRPr="009F72C3">
              <w:rPr>
                <w:rFonts w:ascii="Arial" w:hAnsi="Arial" w:cs="Arial"/>
                <w:b/>
                <w:color w:val="FFFFFF"/>
                <w:sz w:val="28"/>
                <w:szCs w:val="28"/>
              </w:rPr>
              <w:t>Übersicht: 10-R-Regel zum Umgang mit Medikamenten</w:t>
            </w:r>
          </w:p>
        </w:tc>
      </w:tr>
      <w:tr w:rsidR="009F72C3" w:rsidRPr="009F72C3" w14:paraId="736D98F9" w14:textId="77777777" w:rsidTr="009F72C3">
        <w:trPr>
          <w:jc w:val="center"/>
        </w:trPr>
        <w:tc>
          <w:tcPr>
            <w:tcW w:w="2271" w:type="dxa"/>
            <w:shd w:val="clear" w:color="auto" w:fill="B0C0DA"/>
          </w:tcPr>
          <w:p w14:paraId="41B10F32" w14:textId="77777777" w:rsidR="009F72C3" w:rsidRPr="009F72C3" w:rsidRDefault="009F72C3" w:rsidP="009F72C3">
            <w:pPr>
              <w:spacing w:before="120" w:after="120"/>
              <w:rPr>
                <w:rFonts w:ascii="Arial" w:hAnsi="Arial" w:cs="Arial"/>
                <w:b/>
                <w:bCs/>
                <w:color w:val="000000" w:themeColor="text1"/>
                <w:sz w:val="24"/>
              </w:rPr>
            </w:pPr>
            <w:r w:rsidRPr="009F72C3">
              <w:rPr>
                <w:rFonts w:ascii="Arial" w:hAnsi="Arial" w:cs="Arial"/>
                <w:b/>
                <w:bCs/>
                <w:color w:val="000000" w:themeColor="text1"/>
                <w:sz w:val="24"/>
              </w:rPr>
              <w:t>10 R</w:t>
            </w:r>
          </w:p>
        </w:tc>
        <w:tc>
          <w:tcPr>
            <w:tcW w:w="8923" w:type="dxa"/>
            <w:shd w:val="clear" w:color="auto" w:fill="B0C0DA"/>
          </w:tcPr>
          <w:p w14:paraId="40A0C9E1" w14:textId="77777777" w:rsidR="009F72C3" w:rsidRPr="009F72C3" w:rsidRDefault="009F72C3" w:rsidP="009F72C3">
            <w:pPr>
              <w:spacing w:before="120" w:after="120"/>
              <w:rPr>
                <w:rFonts w:ascii="Arial" w:hAnsi="Arial" w:cs="Arial"/>
                <w:b/>
                <w:bCs/>
                <w:color w:val="000000" w:themeColor="text1"/>
                <w:sz w:val="24"/>
              </w:rPr>
            </w:pPr>
            <w:r w:rsidRPr="009F72C3">
              <w:rPr>
                <w:rFonts w:ascii="Arial" w:hAnsi="Arial" w:cs="Arial"/>
                <w:b/>
                <w:bCs/>
                <w:color w:val="000000" w:themeColor="text1"/>
                <w:sz w:val="24"/>
              </w:rPr>
              <w:t>Was zu tun ist</w:t>
            </w:r>
          </w:p>
        </w:tc>
      </w:tr>
      <w:tr w:rsidR="009F72C3" w:rsidRPr="009F72C3" w14:paraId="2A8092B9" w14:textId="77777777" w:rsidTr="009F72C3">
        <w:trPr>
          <w:jc w:val="center"/>
        </w:trPr>
        <w:tc>
          <w:tcPr>
            <w:tcW w:w="2271" w:type="dxa"/>
          </w:tcPr>
          <w:p w14:paraId="4E92794C" w14:textId="77777777" w:rsidR="009F72C3" w:rsidRPr="009F72C3" w:rsidRDefault="009F72C3" w:rsidP="009F72C3">
            <w:pPr>
              <w:spacing w:before="120" w:after="120"/>
              <w:rPr>
                <w:rFonts w:ascii="Arial" w:hAnsi="Arial" w:cs="Arial"/>
                <w:color w:val="000000" w:themeColor="text1"/>
                <w:sz w:val="24"/>
              </w:rPr>
            </w:pPr>
            <w:r w:rsidRPr="009F72C3">
              <w:rPr>
                <w:rFonts w:ascii="Arial" w:hAnsi="Arial" w:cs="Arial"/>
                <w:color w:val="000000" w:themeColor="text1"/>
                <w:sz w:val="24"/>
              </w:rPr>
              <w:t>1. Richtiger Pflegekunde</w:t>
            </w:r>
          </w:p>
        </w:tc>
        <w:tc>
          <w:tcPr>
            <w:tcW w:w="8923" w:type="dxa"/>
          </w:tcPr>
          <w:p w14:paraId="644447BA" w14:textId="77777777" w:rsidR="009F72C3" w:rsidRPr="009F72C3" w:rsidRDefault="009F72C3" w:rsidP="009F72C3">
            <w:pPr>
              <w:spacing w:before="120" w:after="120"/>
              <w:rPr>
                <w:rFonts w:ascii="Arial" w:hAnsi="Arial" w:cs="Arial"/>
                <w:color w:val="000000" w:themeColor="text1"/>
                <w:sz w:val="24"/>
              </w:rPr>
            </w:pPr>
            <w:r w:rsidRPr="009F72C3">
              <w:rPr>
                <w:rFonts w:ascii="Arial" w:hAnsi="Arial" w:cs="Arial"/>
                <w:color w:val="000000" w:themeColor="text1"/>
                <w:sz w:val="24"/>
              </w:rPr>
              <w:t xml:space="preserve">Vergewissern Sie sich vor der Medikamentengabe, dass Sie den richtigen Pflegekunden vor sich haben, </w:t>
            </w:r>
            <w:proofErr w:type="gramStart"/>
            <w:r w:rsidRPr="009F72C3">
              <w:rPr>
                <w:rFonts w:ascii="Arial" w:hAnsi="Arial" w:cs="Arial"/>
                <w:color w:val="000000" w:themeColor="text1"/>
                <w:sz w:val="24"/>
              </w:rPr>
              <w:t>z. B.</w:t>
            </w:r>
            <w:proofErr w:type="gramEnd"/>
            <w:r w:rsidRPr="009F72C3">
              <w:rPr>
                <w:rFonts w:ascii="Arial" w:hAnsi="Arial" w:cs="Arial"/>
                <w:color w:val="000000" w:themeColor="text1"/>
                <w:sz w:val="24"/>
              </w:rPr>
              <w:t xml:space="preserve"> indem Sie ihn nach dem Namen </w:t>
            </w:r>
            <w:proofErr w:type="spellStart"/>
            <w:r w:rsidRPr="009F72C3">
              <w:rPr>
                <w:rFonts w:ascii="Arial" w:hAnsi="Arial" w:cs="Arial"/>
                <w:color w:val="000000" w:themeColor="text1"/>
                <w:sz w:val="24"/>
              </w:rPr>
              <w:t>fragen</w:t>
            </w:r>
            <w:proofErr w:type="spellEnd"/>
            <w:r w:rsidRPr="009F72C3">
              <w:rPr>
                <w:rFonts w:ascii="Arial" w:hAnsi="Arial" w:cs="Arial"/>
                <w:color w:val="000000" w:themeColor="text1"/>
                <w:sz w:val="24"/>
              </w:rPr>
              <w:t xml:space="preserve"> (insbesondere stationär bei Ihnen unbekannten Bewohnern). </w:t>
            </w:r>
          </w:p>
        </w:tc>
      </w:tr>
      <w:tr w:rsidR="009F72C3" w:rsidRPr="009F72C3" w14:paraId="169CB062" w14:textId="77777777" w:rsidTr="009F72C3">
        <w:trPr>
          <w:jc w:val="center"/>
        </w:trPr>
        <w:tc>
          <w:tcPr>
            <w:tcW w:w="2271" w:type="dxa"/>
          </w:tcPr>
          <w:p w14:paraId="2189891E" w14:textId="77777777" w:rsidR="009F72C3" w:rsidRPr="009F72C3" w:rsidRDefault="009F72C3" w:rsidP="009F72C3">
            <w:pPr>
              <w:spacing w:before="120" w:after="120"/>
              <w:rPr>
                <w:rFonts w:ascii="Arial" w:hAnsi="Arial" w:cs="Arial"/>
                <w:color w:val="000000" w:themeColor="text1"/>
                <w:sz w:val="24"/>
              </w:rPr>
            </w:pPr>
            <w:r w:rsidRPr="009F72C3">
              <w:rPr>
                <w:rFonts w:ascii="Arial" w:hAnsi="Arial" w:cs="Arial"/>
                <w:color w:val="000000" w:themeColor="text1"/>
                <w:sz w:val="24"/>
              </w:rPr>
              <w:t>2. Richtiges Arzneimittel</w:t>
            </w:r>
          </w:p>
        </w:tc>
        <w:tc>
          <w:tcPr>
            <w:tcW w:w="8923" w:type="dxa"/>
          </w:tcPr>
          <w:p w14:paraId="345E096F" w14:textId="77777777" w:rsidR="009F72C3" w:rsidRPr="009F72C3" w:rsidRDefault="009F72C3" w:rsidP="009F72C3">
            <w:pPr>
              <w:spacing w:before="120" w:after="120"/>
              <w:rPr>
                <w:rFonts w:ascii="Arial" w:hAnsi="Arial" w:cs="Arial"/>
                <w:color w:val="000000" w:themeColor="text1"/>
                <w:sz w:val="24"/>
              </w:rPr>
            </w:pPr>
            <w:r w:rsidRPr="009F72C3">
              <w:rPr>
                <w:rFonts w:ascii="Arial" w:hAnsi="Arial" w:cs="Arial"/>
                <w:color w:val="000000" w:themeColor="text1"/>
                <w:sz w:val="24"/>
              </w:rPr>
              <w:t>Vor dem Austeilen der Medikamente kontrollieren Sie sie per Abgleich mit dem Medikationsplan (4-Augen-Prinzip).</w:t>
            </w:r>
          </w:p>
        </w:tc>
      </w:tr>
      <w:tr w:rsidR="009F72C3" w:rsidRPr="009F72C3" w14:paraId="08FDA401" w14:textId="77777777" w:rsidTr="009F72C3">
        <w:trPr>
          <w:jc w:val="center"/>
        </w:trPr>
        <w:tc>
          <w:tcPr>
            <w:tcW w:w="2271" w:type="dxa"/>
          </w:tcPr>
          <w:p w14:paraId="142756E7" w14:textId="77777777" w:rsidR="009F72C3" w:rsidRPr="009F72C3" w:rsidRDefault="009F72C3" w:rsidP="009F72C3">
            <w:pPr>
              <w:spacing w:before="120" w:after="120"/>
              <w:rPr>
                <w:rFonts w:ascii="Arial" w:hAnsi="Arial" w:cs="Arial"/>
                <w:color w:val="000000" w:themeColor="text1"/>
                <w:sz w:val="24"/>
              </w:rPr>
            </w:pPr>
            <w:r w:rsidRPr="009F72C3">
              <w:rPr>
                <w:rFonts w:ascii="Arial" w:hAnsi="Arial" w:cs="Arial"/>
                <w:color w:val="000000" w:themeColor="text1"/>
                <w:sz w:val="24"/>
              </w:rPr>
              <w:t>3. Richtige Dosierung</w:t>
            </w:r>
          </w:p>
        </w:tc>
        <w:tc>
          <w:tcPr>
            <w:tcW w:w="8923" w:type="dxa"/>
          </w:tcPr>
          <w:p w14:paraId="443D9158" w14:textId="77777777" w:rsidR="009F72C3" w:rsidRPr="009F72C3" w:rsidRDefault="009F72C3" w:rsidP="009F72C3">
            <w:pPr>
              <w:spacing w:before="120" w:after="120"/>
              <w:rPr>
                <w:rFonts w:ascii="Arial" w:hAnsi="Arial" w:cs="Arial"/>
                <w:color w:val="000000" w:themeColor="text1"/>
                <w:sz w:val="24"/>
              </w:rPr>
            </w:pPr>
            <w:r w:rsidRPr="009F72C3">
              <w:rPr>
                <w:rFonts w:ascii="Arial" w:hAnsi="Arial" w:cs="Arial"/>
                <w:color w:val="000000" w:themeColor="text1"/>
                <w:sz w:val="24"/>
              </w:rPr>
              <w:t>Gleichen Sie die Dosierung vor dem Austeilen mit dem Medikationsplan ab.</w:t>
            </w:r>
          </w:p>
        </w:tc>
      </w:tr>
      <w:tr w:rsidR="009F72C3" w:rsidRPr="009F72C3" w14:paraId="5EBDE2BF" w14:textId="77777777" w:rsidTr="009F72C3">
        <w:trPr>
          <w:jc w:val="center"/>
        </w:trPr>
        <w:tc>
          <w:tcPr>
            <w:tcW w:w="2271" w:type="dxa"/>
          </w:tcPr>
          <w:p w14:paraId="05897556" w14:textId="77777777" w:rsidR="009F72C3" w:rsidRPr="009F72C3" w:rsidRDefault="009F72C3" w:rsidP="009F72C3">
            <w:pPr>
              <w:spacing w:before="120" w:after="120"/>
              <w:rPr>
                <w:rFonts w:ascii="Arial" w:hAnsi="Arial" w:cs="Arial"/>
                <w:color w:val="000000" w:themeColor="text1"/>
                <w:sz w:val="24"/>
              </w:rPr>
            </w:pPr>
            <w:r w:rsidRPr="009F72C3">
              <w:rPr>
                <w:rFonts w:ascii="Arial" w:hAnsi="Arial" w:cs="Arial"/>
                <w:color w:val="000000" w:themeColor="text1"/>
                <w:sz w:val="24"/>
              </w:rPr>
              <w:t>4. Richtige Applikation</w:t>
            </w:r>
          </w:p>
        </w:tc>
        <w:tc>
          <w:tcPr>
            <w:tcW w:w="8923" w:type="dxa"/>
          </w:tcPr>
          <w:p w14:paraId="056715D9" w14:textId="77777777" w:rsidR="009F72C3" w:rsidRPr="009F72C3" w:rsidRDefault="009F72C3" w:rsidP="009F72C3">
            <w:pPr>
              <w:spacing w:before="120" w:after="120"/>
              <w:rPr>
                <w:rFonts w:ascii="Arial" w:hAnsi="Arial" w:cs="Arial"/>
                <w:color w:val="000000" w:themeColor="text1"/>
                <w:sz w:val="24"/>
              </w:rPr>
            </w:pPr>
            <w:r w:rsidRPr="009F72C3">
              <w:rPr>
                <w:rFonts w:ascii="Arial" w:hAnsi="Arial" w:cs="Arial"/>
                <w:color w:val="000000" w:themeColor="text1"/>
                <w:sz w:val="24"/>
              </w:rPr>
              <w:t>Achten Sie darauf, dass das Medikament gemäß Anordnung richtig verabreicht wird, z. B. oral, sublingual.</w:t>
            </w:r>
          </w:p>
        </w:tc>
      </w:tr>
      <w:tr w:rsidR="009F72C3" w:rsidRPr="009F72C3" w14:paraId="7154ABB0" w14:textId="77777777" w:rsidTr="009F72C3">
        <w:trPr>
          <w:jc w:val="center"/>
        </w:trPr>
        <w:tc>
          <w:tcPr>
            <w:tcW w:w="2271" w:type="dxa"/>
          </w:tcPr>
          <w:p w14:paraId="35B0AD14" w14:textId="77777777" w:rsidR="009F72C3" w:rsidRPr="009F72C3" w:rsidRDefault="009F72C3" w:rsidP="009F72C3">
            <w:pPr>
              <w:spacing w:before="120" w:after="120"/>
              <w:rPr>
                <w:rFonts w:ascii="Arial" w:hAnsi="Arial" w:cs="Arial"/>
                <w:color w:val="000000" w:themeColor="text1"/>
                <w:sz w:val="24"/>
              </w:rPr>
            </w:pPr>
            <w:r w:rsidRPr="009F72C3">
              <w:rPr>
                <w:rFonts w:ascii="Arial" w:hAnsi="Arial" w:cs="Arial"/>
                <w:color w:val="000000" w:themeColor="text1"/>
                <w:sz w:val="24"/>
              </w:rPr>
              <w:t>5. Richtiger Zeitpunkt</w:t>
            </w:r>
          </w:p>
        </w:tc>
        <w:tc>
          <w:tcPr>
            <w:tcW w:w="8923" w:type="dxa"/>
          </w:tcPr>
          <w:p w14:paraId="55EC9D20" w14:textId="77777777" w:rsidR="009F72C3" w:rsidRPr="009F72C3" w:rsidRDefault="009F72C3" w:rsidP="009F72C3">
            <w:pPr>
              <w:spacing w:before="120" w:after="120"/>
              <w:rPr>
                <w:rFonts w:ascii="Arial" w:hAnsi="Arial" w:cs="Arial"/>
                <w:color w:val="000000" w:themeColor="text1"/>
                <w:sz w:val="24"/>
              </w:rPr>
            </w:pPr>
            <w:r w:rsidRPr="009F72C3">
              <w:rPr>
                <w:rFonts w:ascii="Arial" w:hAnsi="Arial" w:cs="Arial"/>
                <w:color w:val="000000" w:themeColor="text1"/>
                <w:sz w:val="24"/>
              </w:rPr>
              <w:t>Bei einigen Medikamenten ist ein Spiegel im Blut erforderlich, weshalb die Gabe zu einer bestimmten Zeit wichtig ist, oder die Medikamente müssen nüchtern eingenommen werden, z. B. eine halbe Stunde vor dem Frühstück, oder aber mit einer Mahlzeit. Beachten Sie die entsprechenden Hinweise. Einige Medikamente (etwa Schilddrüsen- und Eisentabletten) hemmen sich gegenseitig in der Aufnahme des Wirkstoffs und dürfen daher nicht zusammen verabreicht werden.</w:t>
            </w:r>
          </w:p>
        </w:tc>
      </w:tr>
      <w:tr w:rsidR="009F72C3" w:rsidRPr="009F72C3" w14:paraId="1B31E44C" w14:textId="77777777" w:rsidTr="009F72C3">
        <w:trPr>
          <w:jc w:val="center"/>
        </w:trPr>
        <w:tc>
          <w:tcPr>
            <w:tcW w:w="2271" w:type="dxa"/>
          </w:tcPr>
          <w:p w14:paraId="584B81B0" w14:textId="77777777" w:rsidR="009F72C3" w:rsidRPr="009F72C3" w:rsidRDefault="009F72C3" w:rsidP="009F72C3">
            <w:pPr>
              <w:spacing w:before="120" w:after="120"/>
              <w:rPr>
                <w:rFonts w:ascii="Arial" w:hAnsi="Arial" w:cs="Arial"/>
                <w:color w:val="000000" w:themeColor="text1"/>
                <w:sz w:val="24"/>
              </w:rPr>
            </w:pPr>
            <w:r w:rsidRPr="009F72C3">
              <w:rPr>
                <w:rFonts w:ascii="Arial" w:hAnsi="Arial" w:cs="Arial"/>
                <w:color w:val="000000" w:themeColor="text1"/>
                <w:sz w:val="24"/>
              </w:rPr>
              <w:t>6. Richtige Anwendungsdauer</w:t>
            </w:r>
          </w:p>
        </w:tc>
        <w:tc>
          <w:tcPr>
            <w:tcW w:w="8923" w:type="dxa"/>
          </w:tcPr>
          <w:p w14:paraId="63BB156D" w14:textId="77777777" w:rsidR="009F72C3" w:rsidRPr="009F72C3" w:rsidRDefault="009F72C3" w:rsidP="009F72C3">
            <w:pPr>
              <w:spacing w:before="120" w:after="120"/>
              <w:rPr>
                <w:rFonts w:ascii="Arial" w:hAnsi="Arial" w:cs="Arial"/>
                <w:color w:val="000000" w:themeColor="text1"/>
                <w:sz w:val="24"/>
              </w:rPr>
            </w:pPr>
            <w:r w:rsidRPr="009F72C3">
              <w:rPr>
                <w:rFonts w:ascii="Arial" w:hAnsi="Arial" w:cs="Arial"/>
                <w:color w:val="000000" w:themeColor="text1"/>
                <w:sz w:val="24"/>
              </w:rPr>
              <w:t>Achten Sie immer strikt darauf, dass die Anwendungsdauer der ärztlichen Anordnung folgt, z. B. bei Antibiotika.</w:t>
            </w:r>
          </w:p>
        </w:tc>
      </w:tr>
      <w:tr w:rsidR="009F72C3" w:rsidRPr="009F72C3" w14:paraId="3F4CD385" w14:textId="77777777" w:rsidTr="009F72C3">
        <w:trPr>
          <w:jc w:val="center"/>
        </w:trPr>
        <w:tc>
          <w:tcPr>
            <w:tcW w:w="2271" w:type="dxa"/>
          </w:tcPr>
          <w:p w14:paraId="640FE816" w14:textId="77777777" w:rsidR="009F72C3" w:rsidRPr="009F72C3" w:rsidRDefault="009F72C3" w:rsidP="009F72C3">
            <w:pPr>
              <w:spacing w:before="120" w:after="120"/>
              <w:rPr>
                <w:rFonts w:ascii="Arial" w:hAnsi="Arial" w:cs="Arial"/>
                <w:color w:val="000000" w:themeColor="text1"/>
                <w:sz w:val="24"/>
              </w:rPr>
            </w:pPr>
            <w:r w:rsidRPr="009F72C3">
              <w:rPr>
                <w:rFonts w:ascii="Arial" w:hAnsi="Arial" w:cs="Arial"/>
                <w:color w:val="000000" w:themeColor="text1"/>
                <w:sz w:val="24"/>
              </w:rPr>
              <w:t>7. Richtige Aufbewahrung</w:t>
            </w:r>
          </w:p>
        </w:tc>
        <w:tc>
          <w:tcPr>
            <w:tcW w:w="8923" w:type="dxa"/>
          </w:tcPr>
          <w:p w14:paraId="514781D6" w14:textId="77777777" w:rsidR="009F72C3" w:rsidRPr="009F72C3" w:rsidRDefault="009F72C3" w:rsidP="009F72C3">
            <w:pPr>
              <w:spacing w:before="120" w:after="120"/>
              <w:rPr>
                <w:rFonts w:ascii="Arial" w:hAnsi="Arial" w:cs="Arial"/>
                <w:color w:val="000000" w:themeColor="text1"/>
                <w:sz w:val="24"/>
              </w:rPr>
            </w:pPr>
            <w:r w:rsidRPr="009F72C3">
              <w:rPr>
                <w:rFonts w:ascii="Arial" w:hAnsi="Arial" w:cs="Arial"/>
                <w:color w:val="000000" w:themeColor="text1"/>
                <w:sz w:val="24"/>
              </w:rPr>
              <w:t xml:space="preserve">Berücksichtigen Sie die erforderlichen Lagerungstemperaturen, etwa kühlpflichtige Medikamente bei 2–8 °C im Kühlschrank und andere nicht über 22–24 °C, sowie gegen Licht und Feuchtigkeit geschützt. </w:t>
            </w:r>
          </w:p>
        </w:tc>
      </w:tr>
      <w:tr w:rsidR="009F72C3" w:rsidRPr="009F72C3" w14:paraId="3FB64C1E" w14:textId="77777777" w:rsidTr="009F72C3">
        <w:trPr>
          <w:jc w:val="center"/>
        </w:trPr>
        <w:tc>
          <w:tcPr>
            <w:tcW w:w="2271" w:type="dxa"/>
          </w:tcPr>
          <w:p w14:paraId="015B7AEC" w14:textId="20CFBB33" w:rsidR="009F72C3" w:rsidRPr="009F72C3" w:rsidRDefault="009F72C3" w:rsidP="009F72C3">
            <w:pPr>
              <w:spacing w:before="120" w:after="120"/>
              <w:rPr>
                <w:rFonts w:ascii="Arial" w:hAnsi="Arial" w:cs="Arial"/>
                <w:color w:val="000000" w:themeColor="text1"/>
                <w:sz w:val="24"/>
              </w:rPr>
            </w:pPr>
            <w:r w:rsidRPr="009F72C3">
              <w:rPr>
                <w:rFonts w:ascii="Arial" w:hAnsi="Arial" w:cs="Arial"/>
                <w:color w:val="000000" w:themeColor="text1"/>
                <w:sz w:val="24"/>
              </w:rPr>
              <w:t>8. Richtiges Risikomanagement</w:t>
            </w:r>
          </w:p>
        </w:tc>
        <w:tc>
          <w:tcPr>
            <w:tcW w:w="8923" w:type="dxa"/>
          </w:tcPr>
          <w:p w14:paraId="2D876EE6" w14:textId="77777777" w:rsidR="009F72C3" w:rsidRPr="009F72C3" w:rsidRDefault="009F72C3" w:rsidP="009F72C3">
            <w:pPr>
              <w:spacing w:before="120" w:after="120"/>
              <w:rPr>
                <w:rFonts w:ascii="Arial" w:hAnsi="Arial" w:cs="Arial"/>
                <w:color w:val="000000" w:themeColor="text1"/>
                <w:sz w:val="24"/>
              </w:rPr>
            </w:pPr>
            <w:r w:rsidRPr="009F72C3">
              <w:rPr>
                <w:rFonts w:ascii="Arial" w:hAnsi="Arial" w:cs="Arial"/>
                <w:color w:val="000000" w:themeColor="text1"/>
                <w:sz w:val="24"/>
              </w:rPr>
              <w:t>Führen Sie Maßnahmen durch, um Fehler im Medikationsprozess frühzeitig zu erkennen und Maßnahmen zur Vorbeugung einzuleiten. Dazu gehört z. B. das 4-Augen Prinzip. Sorgen Sie dafür, dass Sie beim Stellen der Medikamente nicht gestört werden. Wenn es zu Fehlern in der Medikamentengabe gekommen ist, gehen Sie (nach den Erstmaßnahmen wie der Arztinformation) auf Ursachensuche.</w:t>
            </w:r>
          </w:p>
        </w:tc>
      </w:tr>
      <w:tr w:rsidR="009F72C3" w:rsidRPr="009F72C3" w14:paraId="7FC4337F" w14:textId="77777777" w:rsidTr="009F72C3">
        <w:trPr>
          <w:jc w:val="center"/>
        </w:trPr>
        <w:tc>
          <w:tcPr>
            <w:tcW w:w="2271" w:type="dxa"/>
          </w:tcPr>
          <w:p w14:paraId="4F92E2B7" w14:textId="77777777" w:rsidR="009F72C3" w:rsidRPr="009F72C3" w:rsidRDefault="009F72C3" w:rsidP="009F72C3">
            <w:pPr>
              <w:spacing w:before="120" w:after="120"/>
              <w:rPr>
                <w:rFonts w:ascii="Arial" w:hAnsi="Arial" w:cs="Arial"/>
                <w:color w:val="000000" w:themeColor="text1"/>
                <w:sz w:val="24"/>
              </w:rPr>
            </w:pPr>
            <w:r w:rsidRPr="009F72C3">
              <w:rPr>
                <w:rFonts w:ascii="Arial" w:hAnsi="Arial" w:cs="Arial"/>
                <w:color w:val="000000" w:themeColor="text1"/>
                <w:sz w:val="24"/>
              </w:rPr>
              <w:t>9. Richtige Dokumentation</w:t>
            </w:r>
          </w:p>
        </w:tc>
        <w:tc>
          <w:tcPr>
            <w:tcW w:w="8923" w:type="dxa"/>
          </w:tcPr>
          <w:p w14:paraId="51107779" w14:textId="77777777" w:rsidR="009F72C3" w:rsidRPr="009F72C3" w:rsidRDefault="009F72C3" w:rsidP="009F72C3">
            <w:pPr>
              <w:spacing w:before="120" w:after="120"/>
              <w:rPr>
                <w:rFonts w:ascii="Arial" w:hAnsi="Arial" w:cs="Arial"/>
                <w:color w:val="000000" w:themeColor="text1"/>
                <w:sz w:val="24"/>
              </w:rPr>
            </w:pPr>
            <w:r w:rsidRPr="009F72C3">
              <w:rPr>
                <w:rFonts w:ascii="Arial" w:hAnsi="Arial" w:cs="Arial"/>
                <w:color w:val="000000" w:themeColor="text1"/>
                <w:sz w:val="24"/>
              </w:rPr>
              <w:t>Sorgen Sie dafür, dass Sie immer einen aktuellen Medikationsplan haben. Dokumentieren Sie die Medikamentengabe entsprechend Ihrem internen Dokumentationssystem. Führen Sie bei Betäubungsmitteln ein rechtskonformes BTM-Buch, mit einer eigenen Seite pro Medikament und Pflegekunde.</w:t>
            </w:r>
          </w:p>
        </w:tc>
      </w:tr>
      <w:tr w:rsidR="009F72C3" w:rsidRPr="009F72C3" w14:paraId="48DDA467" w14:textId="77777777" w:rsidTr="009F72C3">
        <w:trPr>
          <w:jc w:val="center"/>
        </w:trPr>
        <w:tc>
          <w:tcPr>
            <w:tcW w:w="2271" w:type="dxa"/>
          </w:tcPr>
          <w:p w14:paraId="24F88779" w14:textId="77777777" w:rsidR="009F72C3" w:rsidRPr="009F72C3" w:rsidRDefault="009F72C3" w:rsidP="009F72C3">
            <w:pPr>
              <w:spacing w:before="120" w:after="120"/>
              <w:rPr>
                <w:rFonts w:ascii="Arial" w:hAnsi="Arial" w:cs="Arial"/>
                <w:color w:val="000000" w:themeColor="text1"/>
                <w:sz w:val="24"/>
              </w:rPr>
            </w:pPr>
            <w:r w:rsidRPr="009F72C3">
              <w:rPr>
                <w:rFonts w:ascii="Arial" w:hAnsi="Arial" w:cs="Arial"/>
                <w:color w:val="000000" w:themeColor="text1"/>
                <w:sz w:val="24"/>
              </w:rPr>
              <w:t>10. Richtige Entsorgung</w:t>
            </w:r>
          </w:p>
        </w:tc>
        <w:tc>
          <w:tcPr>
            <w:tcW w:w="8923" w:type="dxa"/>
          </w:tcPr>
          <w:p w14:paraId="6D71FC01" w14:textId="77777777" w:rsidR="009F72C3" w:rsidRPr="009F72C3" w:rsidRDefault="009F72C3" w:rsidP="009F72C3">
            <w:pPr>
              <w:spacing w:before="120" w:after="120"/>
              <w:rPr>
                <w:rFonts w:ascii="Arial" w:hAnsi="Arial" w:cs="Arial"/>
                <w:color w:val="000000" w:themeColor="text1"/>
                <w:sz w:val="24"/>
              </w:rPr>
            </w:pPr>
            <w:r w:rsidRPr="009F72C3">
              <w:rPr>
                <w:rFonts w:ascii="Arial" w:hAnsi="Arial" w:cs="Arial"/>
                <w:color w:val="000000" w:themeColor="text1"/>
                <w:sz w:val="24"/>
              </w:rPr>
              <w:t>Klären Sie mit Ihrer Apotheke, wie Sie mit Medikamenten verfahren, die nicht mehr benötigt werden oder abgelaufen sind. Erstellen Sie abhängig vom Medikament und der Verpackung Entsorgungsrichtlinien für Ihre Einrichtung.</w:t>
            </w:r>
          </w:p>
        </w:tc>
      </w:tr>
    </w:tbl>
    <w:p w14:paraId="70F89C7B" w14:textId="77777777" w:rsidR="009F72C3" w:rsidRPr="003F09DA" w:rsidRDefault="009F72C3" w:rsidP="003F09DA">
      <w:pPr>
        <w:spacing w:before="120" w:after="120"/>
        <w:rPr>
          <w:rFonts w:ascii="Arial" w:eastAsiaTheme="minorHAnsi" w:hAnsi="Arial" w:cs="Arial"/>
          <w:color w:val="000000" w:themeColor="text1"/>
          <w:kern w:val="2"/>
          <w:sz w:val="24"/>
          <w14:ligatures w14:val="standardContextual"/>
        </w:rPr>
      </w:pPr>
    </w:p>
    <w:sectPr w:rsidR="009F72C3" w:rsidRPr="003F09DA" w:rsidSect="009F72C3">
      <w:headerReference w:type="default" r:id="rId9"/>
      <w:pgSz w:w="11906" w:h="16838" w:code="9"/>
      <w:pgMar w:top="-567"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BC308" w14:textId="77777777" w:rsidR="000C03BB" w:rsidRDefault="000C03BB" w:rsidP="002A5D13">
      <w:pPr>
        <w:spacing w:after="0" w:line="240" w:lineRule="auto"/>
      </w:pPr>
      <w:r>
        <w:separator/>
      </w:r>
    </w:p>
  </w:endnote>
  <w:endnote w:type="continuationSeparator" w:id="0">
    <w:p w14:paraId="0D1793FA" w14:textId="77777777" w:rsidR="000C03BB" w:rsidRDefault="000C03BB"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8E85" w14:textId="77777777" w:rsidR="000C03BB" w:rsidRDefault="000C03BB" w:rsidP="002A5D13">
      <w:pPr>
        <w:spacing w:after="0" w:line="240" w:lineRule="auto"/>
      </w:pPr>
      <w:r>
        <w:separator/>
      </w:r>
    </w:p>
  </w:footnote>
  <w:footnote w:type="continuationSeparator" w:id="0">
    <w:p w14:paraId="5886C161" w14:textId="77777777" w:rsidR="000C03BB" w:rsidRDefault="000C03BB"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3D030942" w14:textId="77777777" w:rsidTr="005A461E">
      <w:tc>
        <w:tcPr>
          <w:tcW w:w="1500" w:type="pct"/>
          <w:tcBorders>
            <w:bottom w:val="single" w:sz="4" w:space="0" w:color="auto"/>
          </w:tcBorders>
          <w:shd w:val="clear" w:color="auto" w:fill="3480C6"/>
          <w:vAlign w:val="center"/>
        </w:tcPr>
        <w:p w14:paraId="1541640F" w14:textId="6AD1D147" w:rsidR="007A7CA7" w:rsidRPr="007A7CA7" w:rsidRDefault="00ED3984" w:rsidP="006E0BDB">
          <w:pPr>
            <w:pStyle w:val="Kopfzeile"/>
            <w:jc w:val="center"/>
            <w:rPr>
              <w:b/>
              <w:color w:val="FFFFFF"/>
            </w:rPr>
          </w:pPr>
          <w:r>
            <w:rPr>
              <w:b/>
              <w:color w:val="FFFFFF"/>
              <w:sz w:val="24"/>
            </w:rPr>
            <w:t xml:space="preserve">Ausgabe </w:t>
          </w:r>
          <w:r w:rsidR="00FA045C">
            <w:rPr>
              <w:b/>
              <w:color w:val="FFFFFF"/>
              <w:sz w:val="24"/>
            </w:rPr>
            <w:t>1</w:t>
          </w:r>
          <w:r w:rsidR="00696A92">
            <w:rPr>
              <w:b/>
              <w:color w:val="FFFFFF"/>
              <w:sz w:val="24"/>
            </w:rPr>
            <w:t>1</w:t>
          </w:r>
          <w:r w:rsidR="007A7CA7" w:rsidRPr="007A7CA7">
            <w:rPr>
              <w:b/>
              <w:color w:val="FFFFFF"/>
              <w:sz w:val="24"/>
            </w:rPr>
            <w:t xml:space="preserve"> </w:t>
          </w:r>
          <w:r w:rsidR="00CE2CB9">
            <w:rPr>
              <w:b/>
              <w:color w:val="FFFFFF"/>
              <w:sz w:val="24"/>
            </w:rPr>
            <w:t>–</w:t>
          </w:r>
          <w:r w:rsidR="007A7CA7" w:rsidRPr="007A7CA7">
            <w:rPr>
              <w:b/>
              <w:color w:val="FFFFFF"/>
              <w:sz w:val="24"/>
            </w:rPr>
            <w:t xml:space="preserve"> 20</w:t>
          </w:r>
          <w:r w:rsidR="00696A92">
            <w:rPr>
              <w:b/>
              <w:color w:val="FFFFFF"/>
              <w:sz w:val="24"/>
            </w:rPr>
            <w:t>2</w:t>
          </w:r>
          <w:r w:rsidR="00DB146B">
            <w:rPr>
              <w:b/>
              <w:color w:val="FFFFFF"/>
              <w:sz w:val="24"/>
            </w:rPr>
            <w:t>3</w:t>
          </w:r>
          <w:r w:rsidR="00CE2CB9">
            <w:rPr>
              <w:b/>
              <w:color w:val="FFFFFF"/>
              <w:sz w:val="24"/>
            </w:rPr>
            <w:t xml:space="preserve"> SA</w:t>
          </w:r>
        </w:p>
      </w:tc>
      <w:tc>
        <w:tcPr>
          <w:tcW w:w="4000" w:type="pct"/>
          <w:tcBorders>
            <w:bottom w:val="single" w:sz="4" w:space="0" w:color="auto"/>
          </w:tcBorders>
          <w:vAlign w:val="bottom"/>
        </w:tcPr>
        <w:p w14:paraId="08A8564A" w14:textId="408FC76F" w:rsidR="007A7CA7" w:rsidRPr="007A7CA7" w:rsidRDefault="00696A92" w:rsidP="005A461E">
          <w:pPr>
            <w:pStyle w:val="Kopfzeile"/>
            <w:jc w:val="center"/>
            <w:rPr>
              <w:color w:val="000000"/>
              <w:sz w:val="24"/>
            </w:rPr>
          </w:pPr>
          <w:r w:rsidRPr="006E1553">
            <w:rPr>
              <w:rFonts w:ascii="Arial" w:hAnsi="Arial" w:cs="Arial"/>
              <w:b/>
              <w:noProof/>
              <w:color w:val="000000"/>
              <w:sz w:val="24"/>
              <w:lang w:eastAsia="de-DE"/>
            </w:rPr>
            <w:drawing>
              <wp:inline distT="0" distB="0" distL="0" distR="0" wp14:anchorId="02A1650F" wp14:editId="69000369">
                <wp:extent cx="2169160" cy="723265"/>
                <wp:effectExtent l="0" t="0" r="0" b="0"/>
                <wp:docPr id="151978254" name="Grafik 151978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723265"/>
                        </a:xfrm>
                        <a:prstGeom prst="rect">
                          <a:avLst/>
                        </a:prstGeom>
                        <a:noFill/>
                        <a:ln>
                          <a:noFill/>
                        </a:ln>
                      </pic:spPr>
                    </pic:pic>
                  </a:graphicData>
                </a:graphic>
              </wp:inline>
            </w:drawing>
          </w:r>
        </w:p>
      </w:tc>
    </w:tr>
  </w:tbl>
  <w:p w14:paraId="3887018B" w14:textId="77777777" w:rsidR="007A7CA7" w:rsidRDefault="007A7CA7">
    <w:pPr>
      <w:pStyle w:val="Kopfzeile"/>
    </w:pPr>
  </w:p>
  <w:p w14:paraId="2E52FFC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87D5F75"/>
    <w:multiLevelType w:val="multilevel"/>
    <w:tmpl w:val="9544E83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0DBB7251"/>
    <w:multiLevelType w:val="hybridMultilevel"/>
    <w:tmpl w:val="F6A471B2"/>
    <w:lvl w:ilvl="0" w:tplc="B6FEB84E">
      <w:start w:val="2"/>
      <w:numFmt w:val="bullet"/>
      <w:lvlText w:val="-"/>
      <w:lvlJc w:val="left"/>
      <w:pPr>
        <w:ind w:left="720" w:hanging="360"/>
      </w:pPr>
      <w:rPr>
        <w:rFonts w:ascii="Calibri" w:eastAsiaTheme="minorHAnsi" w:hAnsi="Calibri" w:cs="Calibri" w:hint="default"/>
      </w:rPr>
    </w:lvl>
    <w:lvl w:ilvl="1" w:tplc="43020C88">
      <w:numFmt w:val="bullet"/>
      <w:lvlText w:val=""/>
      <w:lvlJc w:val="left"/>
      <w:pPr>
        <w:ind w:left="1440" w:hanging="360"/>
      </w:pPr>
      <w:rPr>
        <w:rFonts w:ascii="Symbol" w:eastAsia="Cambria" w:hAnsi="Symbo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334AE2"/>
    <w:multiLevelType w:val="hybridMultilevel"/>
    <w:tmpl w:val="FF9EF2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DD2374"/>
    <w:multiLevelType w:val="hybridMultilevel"/>
    <w:tmpl w:val="87A097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9F43CF"/>
    <w:multiLevelType w:val="multilevel"/>
    <w:tmpl w:val="2FE0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1209D"/>
    <w:multiLevelType w:val="hybridMultilevel"/>
    <w:tmpl w:val="0B2E47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DF1DE5"/>
    <w:multiLevelType w:val="multilevel"/>
    <w:tmpl w:val="2E46882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5"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F514BE"/>
    <w:multiLevelType w:val="multilevel"/>
    <w:tmpl w:val="D566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A5BDC"/>
    <w:multiLevelType w:val="hybridMultilevel"/>
    <w:tmpl w:val="2EE8C2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ED0DD8"/>
    <w:multiLevelType w:val="hybridMultilevel"/>
    <w:tmpl w:val="96A476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26D775C"/>
    <w:multiLevelType w:val="hybridMultilevel"/>
    <w:tmpl w:val="A1105AD0"/>
    <w:lvl w:ilvl="0" w:tplc="445AAB5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2DE61EC"/>
    <w:multiLevelType w:val="multilevel"/>
    <w:tmpl w:val="D798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2C0E53"/>
    <w:multiLevelType w:val="hybridMultilevel"/>
    <w:tmpl w:val="4CCEE0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6BA5C57"/>
    <w:multiLevelType w:val="hybridMultilevel"/>
    <w:tmpl w:val="F3025B06"/>
    <w:lvl w:ilvl="0" w:tplc="040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51D5249"/>
    <w:multiLevelType w:val="hybridMultilevel"/>
    <w:tmpl w:val="374EF848"/>
    <w:lvl w:ilvl="0" w:tplc="51ACAC6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DF408F6"/>
    <w:multiLevelType w:val="hybridMultilevel"/>
    <w:tmpl w:val="E22ADFE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6B41BFF"/>
    <w:multiLevelType w:val="hybridMultilevel"/>
    <w:tmpl w:val="8C32F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FA457A"/>
    <w:multiLevelType w:val="hybridMultilevel"/>
    <w:tmpl w:val="13A64038"/>
    <w:lvl w:ilvl="0" w:tplc="B6FEB84E">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CC96CEF"/>
    <w:multiLevelType w:val="hybridMultilevel"/>
    <w:tmpl w:val="AAC2452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DB67383"/>
    <w:multiLevelType w:val="multilevel"/>
    <w:tmpl w:val="63AC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CE0F79"/>
    <w:multiLevelType w:val="multilevel"/>
    <w:tmpl w:val="71F0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604190">
    <w:abstractNumId w:val="18"/>
  </w:num>
  <w:num w:numId="2" w16cid:durableId="1456217558">
    <w:abstractNumId w:val="31"/>
  </w:num>
  <w:num w:numId="3" w16cid:durableId="1803574363">
    <w:abstractNumId w:val="38"/>
  </w:num>
  <w:num w:numId="4" w16cid:durableId="1661150236">
    <w:abstractNumId w:val="20"/>
  </w:num>
  <w:num w:numId="5" w16cid:durableId="840630696">
    <w:abstractNumId w:val="8"/>
  </w:num>
  <w:num w:numId="6" w16cid:durableId="1786457857">
    <w:abstractNumId w:val="13"/>
  </w:num>
  <w:num w:numId="7" w16cid:durableId="273442169">
    <w:abstractNumId w:val="22"/>
  </w:num>
  <w:num w:numId="8" w16cid:durableId="1239441314">
    <w:abstractNumId w:val="21"/>
  </w:num>
  <w:num w:numId="9" w16cid:durableId="1978216536">
    <w:abstractNumId w:val="15"/>
  </w:num>
  <w:num w:numId="10" w16cid:durableId="646931857">
    <w:abstractNumId w:val="5"/>
  </w:num>
  <w:num w:numId="11" w16cid:durableId="1137146208">
    <w:abstractNumId w:val="34"/>
  </w:num>
  <w:num w:numId="12" w16cid:durableId="1204052296">
    <w:abstractNumId w:val="24"/>
  </w:num>
  <w:num w:numId="13" w16cid:durableId="1106383001">
    <w:abstractNumId w:val="25"/>
  </w:num>
  <w:num w:numId="14" w16cid:durableId="793400410">
    <w:abstractNumId w:val="23"/>
  </w:num>
  <w:num w:numId="15" w16cid:durableId="170730696">
    <w:abstractNumId w:val="26"/>
  </w:num>
  <w:num w:numId="16" w16cid:durableId="1470124009">
    <w:abstractNumId w:val="27"/>
  </w:num>
  <w:num w:numId="17" w16cid:durableId="1016734673">
    <w:abstractNumId w:val="28"/>
  </w:num>
  <w:num w:numId="18" w16cid:durableId="1796101997">
    <w:abstractNumId w:val="4"/>
  </w:num>
  <w:num w:numId="19" w16cid:durableId="1924483445">
    <w:abstractNumId w:val="3"/>
  </w:num>
  <w:num w:numId="20" w16cid:durableId="2132623539">
    <w:abstractNumId w:val="2"/>
  </w:num>
  <w:num w:numId="21" w16cid:durableId="1909261134">
    <w:abstractNumId w:val="1"/>
  </w:num>
  <w:num w:numId="22" w16cid:durableId="339436213">
    <w:abstractNumId w:val="0"/>
  </w:num>
  <w:num w:numId="23" w16cid:durableId="2143764223">
    <w:abstractNumId w:val="16"/>
  </w:num>
  <w:num w:numId="24" w16cid:durableId="1356078364">
    <w:abstractNumId w:val="14"/>
  </w:num>
  <w:num w:numId="25" w16cid:durableId="1539126248">
    <w:abstractNumId w:val="6"/>
  </w:num>
  <w:num w:numId="26" w16cid:durableId="982581879">
    <w:abstractNumId w:val="41"/>
  </w:num>
  <w:num w:numId="27" w16cid:durableId="2093774991">
    <w:abstractNumId w:val="42"/>
  </w:num>
  <w:num w:numId="28" w16cid:durableId="957026069">
    <w:abstractNumId w:val="11"/>
  </w:num>
  <w:num w:numId="29" w16cid:durableId="420302232">
    <w:abstractNumId w:val="30"/>
  </w:num>
  <w:num w:numId="30" w16cid:durableId="170336557">
    <w:abstractNumId w:val="9"/>
  </w:num>
  <w:num w:numId="31" w16cid:durableId="1573201071">
    <w:abstractNumId w:val="19"/>
  </w:num>
  <w:num w:numId="32" w16cid:durableId="18972357">
    <w:abstractNumId w:val="10"/>
  </w:num>
  <w:num w:numId="33" w16cid:durableId="260845528">
    <w:abstractNumId w:val="29"/>
  </w:num>
  <w:num w:numId="34" w16cid:durableId="1099259941">
    <w:abstractNumId w:val="35"/>
  </w:num>
  <w:num w:numId="35" w16cid:durableId="1163669163">
    <w:abstractNumId w:val="17"/>
  </w:num>
  <w:num w:numId="36" w16cid:durableId="351148469">
    <w:abstractNumId w:val="36"/>
  </w:num>
  <w:num w:numId="37" w16cid:durableId="710350922">
    <w:abstractNumId w:val="33"/>
  </w:num>
  <w:num w:numId="38" w16cid:durableId="1624773930">
    <w:abstractNumId w:val="32"/>
  </w:num>
  <w:num w:numId="39" w16cid:durableId="763112026">
    <w:abstractNumId w:val="40"/>
  </w:num>
  <w:num w:numId="40" w16cid:durableId="957830222">
    <w:abstractNumId w:val="37"/>
  </w:num>
  <w:num w:numId="41" w16cid:durableId="387732176">
    <w:abstractNumId w:val="12"/>
  </w:num>
  <w:num w:numId="42" w16cid:durableId="1291857985">
    <w:abstractNumId w:val="7"/>
  </w:num>
  <w:num w:numId="43" w16cid:durableId="43806737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70D06"/>
    <w:rsid w:val="00093C89"/>
    <w:rsid w:val="000A7B82"/>
    <w:rsid w:val="000B50CC"/>
    <w:rsid w:val="000C03BB"/>
    <w:rsid w:val="000C6A2D"/>
    <w:rsid w:val="000E0582"/>
    <w:rsid w:val="0015409B"/>
    <w:rsid w:val="001B429B"/>
    <w:rsid w:val="00205D0C"/>
    <w:rsid w:val="00247E00"/>
    <w:rsid w:val="0027096C"/>
    <w:rsid w:val="002766CF"/>
    <w:rsid w:val="0028515F"/>
    <w:rsid w:val="002A5D13"/>
    <w:rsid w:val="002B029B"/>
    <w:rsid w:val="002B4419"/>
    <w:rsid w:val="002D45E4"/>
    <w:rsid w:val="002E4378"/>
    <w:rsid w:val="002F735B"/>
    <w:rsid w:val="002F7B4F"/>
    <w:rsid w:val="00325E53"/>
    <w:rsid w:val="003676E3"/>
    <w:rsid w:val="00380EF0"/>
    <w:rsid w:val="003B1C00"/>
    <w:rsid w:val="003E3400"/>
    <w:rsid w:val="003F09DA"/>
    <w:rsid w:val="00433F51"/>
    <w:rsid w:val="004639C0"/>
    <w:rsid w:val="004955F6"/>
    <w:rsid w:val="004A47F9"/>
    <w:rsid w:val="004B6C90"/>
    <w:rsid w:val="004C2396"/>
    <w:rsid w:val="0050689E"/>
    <w:rsid w:val="00551B88"/>
    <w:rsid w:val="00587D31"/>
    <w:rsid w:val="005A0C69"/>
    <w:rsid w:val="005A461E"/>
    <w:rsid w:val="005E1850"/>
    <w:rsid w:val="00606AB2"/>
    <w:rsid w:val="00614D0A"/>
    <w:rsid w:val="00653E72"/>
    <w:rsid w:val="00661981"/>
    <w:rsid w:val="006775B7"/>
    <w:rsid w:val="00696A92"/>
    <w:rsid w:val="006A5CFE"/>
    <w:rsid w:val="006E0BDB"/>
    <w:rsid w:val="006E18EF"/>
    <w:rsid w:val="00782522"/>
    <w:rsid w:val="007A7CA7"/>
    <w:rsid w:val="007B0290"/>
    <w:rsid w:val="007C0AE5"/>
    <w:rsid w:val="007E1A2E"/>
    <w:rsid w:val="00811578"/>
    <w:rsid w:val="00831E73"/>
    <w:rsid w:val="00841FA8"/>
    <w:rsid w:val="00852BFB"/>
    <w:rsid w:val="008633AC"/>
    <w:rsid w:val="00887070"/>
    <w:rsid w:val="008B1F83"/>
    <w:rsid w:val="008D079C"/>
    <w:rsid w:val="008E62B1"/>
    <w:rsid w:val="00937B0B"/>
    <w:rsid w:val="009433D9"/>
    <w:rsid w:val="00983536"/>
    <w:rsid w:val="009B721F"/>
    <w:rsid w:val="009F084F"/>
    <w:rsid w:val="009F72C3"/>
    <w:rsid w:val="00A06C64"/>
    <w:rsid w:val="00AC136E"/>
    <w:rsid w:val="00B01FFE"/>
    <w:rsid w:val="00B42C1E"/>
    <w:rsid w:val="00B707AF"/>
    <w:rsid w:val="00B87D52"/>
    <w:rsid w:val="00BD71E9"/>
    <w:rsid w:val="00C135D1"/>
    <w:rsid w:val="00C310AF"/>
    <w:rsid w:val="00C73E1A"/>
    <w:rsid w:val="00CC38C8"/>
    <w:rsid w:val="00CE2CB9"/>
    <w:rsid w:val="00D86187"/>
    <w:rsid w:val="00DB146B"/>
    <w:rsid w:val="00DB32C7"/>
    <w:rsid w:val="00E113DA"/>
    <w:rsid w:val="00E2265E"/>
    <w:rsid w:val="00ED3984"/>
    <w:rsid w:val="00F20663"/>
    <w:rsid w:val="00FA045C"/>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05C08"/>
  <w15:chartTrackingRefBased/>
  <w15:docId w15:val="{80CA79C6-0582-41D0-B4DB-A10E5E20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39"/>
    <w:rsid w:val="00FA045C"/>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
    <w:name w:val="Tabellentext"/>
    <w:basedOn w:val="Standard"/>
    <w:qFormat/>
    <w:rsid w:val="003F09DA"/>
    <w:pPr>
      <w:spacing w:before="120" w:after="120" w:line="240" w:lineRule="auto"/>
    </w:pPr>
    <w:rPr>
      <w:rFonts w:ascii="Arial" w:eastAsia="Times New Roman" w:hAnsi="Arial"/>
      <w:sz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3E3039-4ABB-4CE4-91AF-66D1F0A55F19}">
  <ds:schemaRefs>
    <ds:schemaRef ds:uri="http://schemas.openxmlformats.org/officeDocument/2006/bibliography"/>
  </ds:schemaRefs>
</ds:datastoreItem>
</file>

<file path=customXml/itemProps3.xml><?xml version="1.0" encoding="utf-8"?>
<ds:datastoreItem xmlns:ds="http://schemas.openxmlformats.org/officeDocument/2006/customXml" ds:itemID="{A63C7958-3CDE-49B4-AF54-8AC434E04062}"/>
</file>

<file path=customXml/itemProps4.xml><?xml version="1.0" encoding="utf-8"?>
<ds:datastoreItem xmlns:ds="http://schemas.openxmlformats.org/officeDocument/2006/customXml" ds:itemID="{2A2E5543-A350-415F-A730-D3889A3C04B2}"/>
</file>

<file path=customXml/itemProps5.xml><?xml version="1.0" encoding="utf-8"?>
<ds:datastoreItem xmlns:ds="http://schemas.openxmlformats.org/officeDocument/2006/customXml" ds:itemID="{EBE9B063-3DAD-42C2-8017-2FCC5355F3F5}"/>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2142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2023-10-16T21:16:00Z</dcterms:created>
  <dcterms:modified xsi:type="dcterms:W3CDTF">2023-10-16T21:16:00Z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