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76595" w14:textId="77777777" w:rsidR="002A5D13" w:rsidRDefault="007A7CA7" w:rsidP="0094172F">
      <w:pPr>
        <w:tabs>
          <w:tab w:val="left" w:pos="5280"/>
          <w:tab w:val="right" w:pos="9070"/>
        </w:tabs>
        <w:rPr>
          <w:b/>
          <w:noProof/>
          <w:lang w:eastAsia="de-DE"/>
        </w:rPr>
      </w:pPr>
      <w:r>
        <w:rPr>
          <w:b/>
          <w:noProof/>
          <w:lang w:eastAsia="de-DE"/>
        </w:rPr>
        <w:tab/>
      </w:r>
      <w:r w:rsidR="0094172F">
        <w:rPr>
          <w:b/>
          <w:noProof/>
          <w:lang w:eastAsia="de-DE"/>
        </w:rPr>
        <w:tab/>
      </w:r>
    </w:p>
    <w:p w14:paraId="61F0E915" w14:textId="77777777" w:rsidR="00C73E1A" w:rsidRDefault="007A7CA7" w:rsidP="00E353A3">
      <w:pPr>
        <w:tabs>
          <w:tab w:val="left" w:pos="1665"/>
          <w:tab w:val="left" w:pos="2430"/>
          <w:tab w:val="left" w:pos="4185"/>
          <w:tab w:val="left" w:pos="6900"/>
        </w:tabs>
      </w:pPr>
      <w:r>
        <w:tab/>
      </w:r>
      <w:r w:rsidR="00E353A3">
        <w:tab/>
      </w:r>
      <w:r>
        <w:tab/>
      </w:r>
      <w:r w:rsidR="00B707AF">
        <w:tab/>
      </w:r>
    </w:p>
    <w:p w14:paraId="0A93EE12" w14:textId="7336A3D6" w:rsidR="007A7CA7" w:rsidRDefault="006E18EF" w:rsidP="0066479A">
      <w:pPr>
        <w:tabs>
          <w:tab w:val="left" w:pos="2430"/>
        </w:tabs>
      </w:pPr>
      <w:r>
        <w:tab/>
      </w:r>
    </w:p>
    <w:p w14:paraId="25F8ABA5" w14:textId="585ABE72" w:rsidR="0039497C" w:rsidRDefault="0039497C" w:rsidP="0039497C">
      <w:pPr>
        <w:rPr>
          <w:rFonts w:cs="Calibri"/>
          <w:b/>
          <w:sz w:val="24"/>
          <w:szCs w:val="24"/>
        </w:rPr>
      </w:pPr>
    </w:p>
    <w:p w14:paraId="14286FFF" w14:textId="77777777" w:rsidR="00A6202E" w:rsidRPr="002B79F8" w:rsidRDefault="00A6202E" w:rsidP="0039497C">
      <w:pPr>
        <w:rPr>
          <w:rFonts w:cs="Calibri"/>
          <w:b/>
          <w:sz w:val="24"/>
          <w:szCs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39497C" w:rsidRPr="0039497C" w14:paraId="1B145B08" w14:textId="77777777" w:rsidTr="00A6202E">
        <w:trPr>
          <w:jc w:val="center"/>
        </w:trPr>
        <w:tc>
          <w:tcPr>
            <w:tcW w:w="9209" w:type="dxa"/>
            <w:shd w:val="clear" w:color="auto" w:fill="006793"/>
          </w:tcPr>
          <w:p w14:paraId="5EB32EB9" w14:textId="1AC0CFEC" w:rsidR="0039497C" w:rsidRPr="0039497C" w:rsidRDefault="00A6202E" w:rsidP="0039497C">
            <w:pPr>
              <w:spacing w:before="120" w:after="120"/>
              <w:rPr>
                <w:rFonts w:ascii="Arial" w:hAnsi="Arial" w:cs="Arial"/>
                <w:b/>
                <w:color w:val="FFFFFF" w:themeColor="background1"/>
                <w:sz w:val="28"/>
                <w:szCs w:val="28"/>
              </w:rPr>
            </w:pPr>
            <w:r w:rsidRPr="00A6202E">
              <w:rPr>
                <w:rFonts w:ascii="Arial" w:hAnsi="Arial" w:cs="Arial"/>
                <w:b/>
                <w:color w:val="FFFFFF" w:themeColor="background1"/>
                <w:sz w:val="28"/>
                <w:szCs w:val="28"/>
              </w:rPr>
              <w:t>Muster: Vereinbarung über ein Arbeitszeitkonto</w:t>
            </w:r>
          </w:p>
        </w:tc>
      </w:tr>
      <w:tr w:rsidR="00A6202E" w:rsidRPr="0039497C" w14:paraId="0D1A7CA8" w14:textId="77777777" w:rsidTr="00A6202E">
        <w:trPr>
          <w:jc w:val="center"/>
        </w:trPr>
        <w:tc>
          <w:tcPr>
            <w:tcW w:w="9209" w:type="dxa"/>
            <w:shd w:val="clear" w:color="auto" w:fill="C4D3EA"/>
          </w:tcPr>
          <w:p w14:paraId="063A7EAE" w14:textId="1DD8AA3B" w:rsidR="00A6202E" w:rsidRPr="0039497C" w:rsidRDefault="00A6202E" w:rsidP="00A6202E">
            <w:pPr>
              <w:spacing w:before="120" w:after="120"/>
              <w:rPr>
                <w:rFonts w:ascii="Arial" w:hAnsi="Arial" w:cs="Arial"/>
                <w:b/>
                <w:color w:val="000000"/>
                <w:sz w:val="24"/>
                <w:szCs w:val="24"/>
              </w:rPr>
            </w:pPr>
            <w:r w:rsidRPr="00A6202E">
              <w:rPr>
                <w:rFonts w:ascii="Arial" w:hAnsi="Arial" w:cs="Arial"/>
                <w:b/>
                <w:color w:val="000000"/>
                <w:sz w:val="24"/>
                <w:szCs w:val="24"/>
              </w:rPr>
              <w:t>§ … Dienstplanung / Einrichtung eines Arbeitszeitkontos</w:t>
            </w:r>
          </w:p>
        </w:tc>
      </w:tr>
      <w:tr w:rsidR="00A6202E" w:rsidRPr="0039497C" w14:paraId="6527F191" w14:textId="77777777" w:rsidTr="00A6202E">
        <w:trPr>
          <w:jc w:val="center"/>
        </w:trPr>
        <w:tc>
          <w:tcPr>
            <w:tcW w:w="9209" w:type="dxa"/>
            <w:shd w:val="clear" w:color="auto" w:fill="auto"/>
          </w:tcPr>
          <w:p w14:paraId="204C8804" w14:textId="77777777" w:rsidR="00A6202E" w:rsidRPr="00A6202E" w:rsidRDefault="00A6202E" w:rsidP="00A6202E">
            <w:pPr>
              <w:pStyle w:val="Listenabsatz"/>
              <w:numPr>
                <w:ilvl w:val="0"/>
                <w:numId w:val="27"/>
              </w:numPr>
              <w:spacing w:before="120" w:after="120" w:line="276" w:lineRule="auto"/>
              <w:ind w:left="458"/>
              <w:rPr>
                <w:rFonts w:ascii="Arial" w:hAnsi="Arial" w:cs="Arial"/>
                <w:color w:val="000000"/>
                <w:sz w:val="24"/>
              </w:rPr>
            </w:pPr>
            <w:r w:rsidRPr="00A6202E">
              <w:rPr>
                <w:rFonts w:ascii="Arial" w:hAnsi="Arial" w:cs="Arial"/>
                <w:color w:val="000000"/>
                <w:sz w:val="24"/>
              </w:rPr>
              <w:t>Die Verteilung der in § … vereinbarten Wochenarbeitszeit auf die Arbeitstage obliegt dem Arbeitgeber im Rahmen seines Direktionsrechts. Er kann dazu eine formelle Dienstplanung einsetzen.</w:t>
            </w:r>
          </w:p>
          <w:p w14:paraId="330ABAB3" w14:textId="77777777" w:rsidR="00A6202E" w:rsidRPr="00A6202E" w:rsidRDefault="00A6202E" w:rsidP="00A6202E">
            <w:pPr>
              <w:pStyle w:val="Listenabsatz"/>
              <w:numPr>
                <w:ilvl w:val="0"/>
                <w:numId w:val="27"/>
              </w:numPr>
              <w:spacing w:before="120" w:after="120" w:line="276" w:lineRule="auto"/>
              <w:ind w:left="458"/>
              <w:rPr>
                <w:rFonts w:ascii="Arial" w:hAnsi="Arial" w:cs="Arial"/>
                <w:color w:val="000000"/>
                <w:sz w:val="24"/>
              </w:rPr>
            </w:pPr>
            <w:r w:rsidRPr="00A6202E">
              <w:rPr>
                <w:rFonts w:ascii="Arial" w:hAnsi="Arial" w:cs="Arial"/>
                <w:color w:val="000000"/>
                <w:sz w:val="24"/>
              </w:rPr>
              <w:t xml:space="preserve">Für den Arbeitnehmer wird ein Arbeitszeitkonto eingerichtet. Bei der Zuteilung von Diensten legt der Arbeitgeber die vertraglich vereinbarte Wochenarbeitszeit zugrunde. Er kann davon jedoch aus betrieblichen Gründen nach oben und unten abweichen. Soweit erforderlich, hat der Arbeitnehmer auf Verlangen des Arbeitgebers Überstunden zu leisten, die vorrangig über Freizeit, nachrangig über Auszahlung ausgeglichen werden. Die Unterschreitung der vertraglichen Wochenarbeitszeit hat der Arbeitnehmer nach Maßgabe des Absatzes 5 zu dulden. </w:t>
            </w:r>
          </w:p>
          <w:p w14:paraId="3DA9362D" w14:textId="77777777" w:rsidR="00A6202E" w:rsidRPr="00A6202E" w:rsidRDefault="00A6202E" w:rsidP="00A6202E">
            <w:pPr>
              <w:pStyle w:val="Listenabsatz"/>
              <w:numPr>
                <w:ilvl w:val="0"/>
                <w:numId w:val="27"/>
              </w:numPr>
              <w:spacing w:before="120" w:after="120" w:line="276" w:lineRule="auto"/>
              <w:ind w:left="458"/>
              <w:rPr>
                <w:rFonts w:ascii="Arial" w:hAnsi="Arial" w:cs="Arial"/>
                <w:color w:val="000000"/>
                <w:sz w:val="24"/>
              </w:rPr>
            </w:pPr>
            <w:r w:rsidRPr="00A6202E">
              <w:rPr>
                <w:rFonts w:ascii="Arial" w:hAnsi="Arial" w:cs="Arial"/>
                <w:color w:val="000000"/>
                <w:sz w:val="24"/>
              </w:rPr>
              <w:t>Auf dem Arbeitszeitkonto werden alle Abweichungen zwischen der tatsächlichen und der vertraglich vereinbarten Arbeitszeit erfasst. Dabei ist es zulässig, Plus- und Minusstunden zu saldieren.</w:t>
            </w:r>
          </w:p>
          <w:p w14:paraId="1F902B53" w14:textId="77777777" w:rsidR="00A6202E" w:rsidRPr="00A6202E" w:rsidRDefault="00A6202E" w:rsidP="00A6202E">
            <w:pPr>
              <w:pStyle w:val="Listenabsatz"/>
              <w:numPr>
                <w:ilvl w:val="0"/>
                <w:numId w:val="27"/>
              </w:numPr>
              <w:spacing w:before="120" w:after="120" w:line="276" w:lineRule="auto"/>
              <w:ind w:left="458"/>
              <w:rPr>
                <w:rFonts w:ascii="Arial" w:hAnsi="Arial" w:cs="Arial"/>
                <w:color w:val="000000"/>
                <w:sz w:val="24"/>
              </w:rPr>
            </w:pPr>
            <w:r w:rsidRPr="00A6202E">
              <w:rPr>
                <w:rFonts w:ascii="Arial" w:hAnsi="Arial" w:cs="Arial"/>
                <w:color w:val="000000"/>
                <w:sz w:val="24"/>
              </w:rPr>
              <w:t>Der Arbeitgeber bezahlt – unabhängig vom Stand des Arbeitszeitkontos – die vertraglich vereinbarte monatliche Vergütung.</w:t>
            </w:r>
          </w:p>
          <w:p w14:paraId="78DAD3DC" w14:textId="77777777" w:rsidR="00A6202E" w:rsidRPr="00A6202E" w:rsidRDefault="00A6202E" w:rsidP="00A6202E">
            <w:pPr>
              <w:pStyle w:val="Listenabsatz"/>
              <w:numPr>
                <w:ilvl w:val="0"/>
                <w:numId w:val="27"/>
              </w:numPr>
              <w:spacing w:before="120" w:after="120" w:line="276" w:lineRule="auto"/>
              <w:ind w:left="458"/>
              <w:rPr>
                <w:rFonts w:ascii="Arial" w:hAnsi="Arial" w:cs="Arial"/>
                <w:color w:val="000000"/>
                <w:sz w:val="24"/>
              </w:rPr>
            </w:pPr>
            <w:r w:rsidRPr="00A6202E">
              <w:rPr>
                <w:rFonts w:ascii="Arial" w:hAnsi="Arial" w:cs="Arial"/>
                <w:color w:val="000000"/>
                <w:sz w:val="24"/>
              </w:rPr>
              <w:t>Nach erfolgter Saldierung von Plus- und Minusstunden darf das Zeitkonto Stände nur innerhalb des folgenden Korridors aufweisen:</w:t>
            </w:r>
          </w:p>
          <w:p w14:paraId="7DFE8E69" w14:textId="77777777" w:rsidR="00A6202E" w:rsidRPr="00A6202E" w:rsidRDefault="00A6202E" w:rsidP="00A6202E">
            <w:pPr>
              <w:pStyle w:val="Listenabsatz"/>
              <w:numPr>
                <w:ilvl w:val="0"/>
                <w:numId w:val="26"/>
              </w:numPr>
              <w:spacing w:before="120" w:after="120" w:line="276" w:lineRule="auto"/>
              <w:rPr>
                <w:rFonts w:ascii="Arial" w:hAnsi="Arial" w:cs="Arial"/>
                <w:color w:val="000000"/>
                <w:sz w:val="24"/>
              </w:rPr>
            </w:pPr>
            <w:r w:rsidRPr="00A6202E">
              <w:rPr>
                <w:rFonts w:ascii="Arial" w:hAnsi="Arial" w:cs="Arial"/>
                <w:color w:val="000000"/>
                <w:sz w:val="24"/>
              </w:rPr>
              <w:t>Es sind maximal (Beispiel) 150 Plusstunden möglich.</w:t>
            </w:r>
          </w:p>
          <w:p w14:paraId="29AA5D23" w14:textId="77777777" w:rsidR="00A6202E" w:rsidRPr="00A6202E" w:rsidRDefault="00A6202E" w:rsidP="00A6202E">
            <w:pPr>
              <w:pStyle w:val="Listenabsatz"/>
              <w:numPr>
                <w:ilvl w:val="0"/>
                <w:numId w:val="26"/>
              </w:numPr>
              <w:spacing w:before="120" w:after="120" w:line="276" w:lineRule="auto"/>
              <w:rPr>
                <w:rFonts w:ascii="Arial" w:hAnsi="Arial" w:cs="Arial"/>
                <w:color w:val="000000"/>
                <w:sz w:val="24"/>
              </w:rPr>
            </w:pPr>
            <w:r w:rsidRPr="00A6202E">
              <w:rPr>
                <w:rFonts w:ascii="Arial" w:hAnsi="Arial" w:cs="Arial"/>
                <w:color w:val="000000"/>
                <w:sz w:val="24"/>
              </w:rPr>
              <w:t>Es sind maximal (Beispiel) 75 Minusstunden möglich.</w:t>
            </w:r>
          </w:p>
          <w:p w14:paraId="07C3DF76" w14:textId="77777777" w:rsidR="00A6202E" w:rsidRPr="00A6202E" w:rsidRDefault="00A6202E" w:rsidP="00A6202E">
            <w:pPr>
              <w:pStyle w:val="Listenabsatz"/>
              <w:numPr>
                <w:ilvl w:val="0"/>
                <w:numId w:val="27"/>
              </w:numPr>
              <w:spacing w:before="120" w:after="120" w:line="276" w:lineRule="auto"/>
              <w:ind w:left="458"/>
              <w:rPr>
                <w:rFonts w:ascii="Arial" w:hAnsi="Arial" w:cs="Arial"/>
                <w:color w:val="000000"/>
                <w:sz w:val="24"/>
              </w:rPr>
            </w:pPr>
            <w:r w:rsidRPr="00A6202E">
              <w:rPr>
                <w:rFonts w:ascii="Arial" w:hAnsi="Arial" w:cs="Arial"/>
                <w:bCs w:val="0"/>
                <w:color w:val="000000"/>
                <w:sz w:val="24"/>
              </w:rPr>
              <w:t>Plus</w:t>
            </w:r>
            <w:r w:rsidRPr="00A6202E">
              <w:rPr>
                <w:rFonts w:ascii="Arial" w:hAnsi="Arial" w:cs="Arial"/>
                <w:color w:val="000000"/>
                <w:sz w:val="24"/>
              </w:rPr>
              <w:t>- und Minusstunden sind innerhalb von 18 Monaten auszugleichen. Soweit der Anspruch auf den Mindestlohn für bestimmte Plusstunden noch nicht durch das verstetigte Arbeitsentgelt erfüllt ist, beträgt der Ausgleichszeitraum für diese Stunden 12 Monate.</w:t>
            </w:r>
          </w:p>
          <w:p w14:paraId="006059E2" w14:textId="77777777" w:rsidR="00A6202E" w:rsidRPr="00A6202E" w:rsidRDefault="00A6202E" w:rsidP="00A6202E">
            <w:pPr>
              <w:pStyle w:val="Listenabsatz"/>
              <w:numPr>
                <w:ilvl w:val="0"/>
                <w:numId w:val="27"/>
              </w:numPr>
              <w:spacing w:before="120" w:after="120" w:line="276" w:lineRule="auto"/>
              <w:ind w:left="458"/>
              <w:rPr>
                <w:rFonts w:ascii="Arial" w:hAnsi="Arial" w:cs="Arial"/>
                <w:color w:val="000000"/>
                <w:sz w:val="24"/>
              </w:rPr>
            </w:pPr>
            <w:r w:rsidRPr="00A6202E">
              <w:rPr>
                <w:rFonts w:ascii="Arial" w:hAnsi="Arial" w:cs="Arial"/>
                <w:color w:val="000000"/>
                <w:sz w:val="24"/>
              </w:rPr>
              <w:t>Bei einem absehbaren Ende des Arbeitsverhältnisses kann der Arbeitgeber Maßnahmen der Arbeitszeitbewirtschaftung, wie etwa Freizeitausgleich oder zusätzliche Einsätze, anordnen, die den Kontostand zum Beendigungsdatum auf null zurückführen. Der Arbeitnehmer hat diese im Rahmen der gesetzlichen Regelungen zur Arbeitszeit zu dulden.</w:t>
            </w:r>
          </w:p>
          <w:p w14:paraId="48E06FA5" w14:textId="2F511A3E" w:rsidR="00A6202E" w:rsidRPr="0039497C" w:rsidRDefault="00A6202E" w:rsidP="00A6202E">
            <w:pPr>
              <w:pStyle w:val="Listenabsatz"/>
              <w:numPr>
                <w:ilvl w:val="0"/>
                <w:numId w:val="27"/>
              </w:numPr>
              <w:spacing w:before="120" w:after="120" w:line="276" w:lineRule="auto"/>
              <w:ind w:left="458"/>
              <w:rPr>
                <w:rFonts w:ascii="Arial" w:hAnsi="Arial" w:cs="Arial"/>
                <w:bCs w:val="0"/>
                <w:color w:val="000000"/>
                <w:sz w:val="24"/>
              </w:rPr>
            </w:pPr>
            <w:r w:rsidRPr="00A6202E">
              <w:rPr>
                <w:rFonts w:ascii="Arial" w:hAnsi="Arial" w:cs="Arial"/>
                <w:color w:val="000000"/>
                <w:sz w:val="24"/>
              </w:rPr>
              <w:t>Bestehen zum</w:t>
            </w:r>
            <w:r w:rsidRPr="00A6202E">
              <w:rPr>
                <w:rFonts w:ascii="Arial" w:hAnsi="Arial" w:cs="Arial"/>
                <w:bCs w:val="0"/>
                <w:color w:val="000000"/>
                <w:sz w:val="24"/>
              </w:rPr>
              <w:t xml:space="preserve"> Beendigungszeitpunkt Stundenguthaben, werden diese durch Auszahlung abgegolten. Ein negativer Stundensaldo wird mit den Entgeltansprüchen des Arbeitnehmers aufgerechnet.</w:t>
            </w:r>
          </w:p>
        </w:tc>
      </w:tr>
    </w:tbl>
    <w:p w14:paraId="339CEB39" w14:textId="77777777" w:rsidR="0039497C" w:rsidRDefault="0039497C" w:rsidP="0039497C">
      <w:pPr>
        <w:spacing w:before="120" w:after="120"/>
        <w:rPr>
          <w:rFonts w:ascii="Arial" w:hAnsi="Arial" w:cs="Arial"/>
          <w:bCs/>
          <w:color w:val="000000"/>
          <w:sz w:val="24"/>
          <w:szCs w:val="24"/>
        </w:rPr>
      </w:pPr>
    </w:p>
    <w:p w14:paraId="2BCF21F4" w14:textId="77777777" w:rsidR="00A6202E" w:rsidRDefault="00A6202E" w:rsidP="0039497C">
      <w:pPr>
        <w:spacing w:before="120" w:after="120"/>
        <w:rPr>
          <w:rFonts w:ascii="Arial" w:hAnsi="Arial" w:cs="Arial"/>
          <w:bCs/>
          <w:color w:val="000000"/>
          <w:sz w:val="24"/>
          <w:szCs w:val="24"/>
        </w:rPr>
      </w:pPr>
    </w:p>
    <w:sectPr w:rsidR="00A6202E" w:rsidSect="0039497C">
      <w:headerReference w:type="default" r:id="rId9"/>
      <w:pgSz w:w="11906" w:h="16838" w:code="9"/>
      <w:pgMar w:top="-576" w:right="1418" w:bottom="0"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060F1" w14:textId="77777777" w:rsidR="0045558D" w:rsidRDefault="0045558D" w:rsidP="002A5D13">
      <w:pPr>
        <w:spacing w:after="0" w:line="240" w:lineRule="auto"/>
      </w:pPr>
      <w:r>
        <w:separator/>
      </w:r>
    </w:p>
  </w:endnote>
  <w:endnote w:type="continuationSeparator" w:id="0">
    <w:p w14:paraId="67C68370" w14:textId="77777777" w:rsidR="0045558D" w:rsidRDefault="0045558D"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29606" w14:textId="77777777" w:rsidR="0045558D" w:rsidRDefault="0045558D" w:rsidP="002A5D13">
      <w:pPr>
        <w:spacing w:after="0" w:line="240" w:lineRule="auto"/>
      </w:pPr>
      <w:r>
        <w:separator/>
      </w:r>
    </w:p>
  </w:footnote>
  <w:footnote w:type="continuationSeparator" w:id="0">
    <w:p w14:paraId="2E80517C" w14:textId="77777777" w:rsidR="0045558D" w:rsidRDefault="0045558D"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220" w:type="pct"/>
      <w:jc w:val="center"/>
      <w:tblCellMar>
        <w:top w:w="72" w:type="dxa"/>
        <w:left w:w="115" w:type="dxa"/>
        <w:bottom w:w="72" w:type="dxa"/>
        <w:right w:w="115" w:type="dxa"/>
      </w:tblCellMar>
      <w:tblLook w:val="04A0" w:firstRow="1" w:lastRow="0" w:firstColumn="1" w:lastColumn="0" w:noHBand="0" w:noVBand="1"/>
    </w:tblPr>
    <w:tblGrid>
      <w:gridCol w:w="2615"/>
      <w:gridCol w:w="5040"/>
    </w:tblGrid>
    <w:tr w:rsidR="00043D60" w14:paraId="50FE07F4" w14:textId="77777777" w:rsidTr="00EC3153">
      <w:trPr>
        <w:trHeight w:val="778"/>
        <w:jc w:val="center"/>
      </w:trPr>
      <w:tc>
        <w:tcPr>
          <w:tcW w:w="1777" w:type="pct"/>
          <w:tcBorders>
            <w:bottom w:val="single" w:sz="4" w:space="0" w:color="auto"/>
          </w:tcBorders>
          <w:shd w:val="clear" w:color="auto" w:fill="006793"/>
          <w:vAlign w:val="center"/>
        </w:tcPr>
        <w:p w14:paraId="6ABA9FFE" w14:textId="3ABA7D66" w:rsidR="007A7CA7" w:rsidRPr="007A7CA7" w:rsidRDefault="009908DD" w:rsidP="00332CA1">
          <w:pPr>
            <w:pStyle w:val="Kopfzeile"/>
            <w:jc w:val="center"/>
            <w:rPr>
              <w:b/>
              <w:color w:val="FFFFFF"/>
            </w:rPr>
          </w:pPr>
          <w:r>
            <w:rPr>
              <w:b/>
              <w:color w:val="FFFFFF"/>
              <w:sz w:val="24"/>
            </w:rPr>
            <w:t xml:space="preserve">Ausgabe </w:t>
          </w:r>
          <w:r w:rsidR="0039497C">
            <w:rPr>
              <w:b/>
              <w:color w:val="FFFFFF"/>
              <w:sz w:val="24"/>
            </w:rPr>
            <w:t>12</w:t>
          </w:r>
          <w:r>
            <w:rPr>
              <w:b/>
              <w:color w:val="FFFFFF"/>
              <w:sz w:val="24"/>
            </w:rPr>
            <w:t xml:space="preserve"> - 20</w:t>
          </w:r>
          <w:r w:rsidR="0066479A">
            <w:rPr>
              <w:b/>
              <w:color w:val="FFFFFF"/>
              <w:sz w:val="24"/>
            </w:rPr>
            <w:t>2</w:t>
          </w:r>
          <w:r w:rsidR="008838E4">
            <w:rPr>
              <w:b/>
              <w:color w:val="FFFFFF"/>
              <w:sz w:val="24"/>
            </w:rPr>
            <w:t>4</w:t>
          </w:r>
        </w:p>
      </w:tc>
      <w:tc>
        <w:tcPr>
          <w:tcW w:w="3223" w:type="pct"/>
          <w:tcBorders>
            <w:bottom w:val="single" w:sz="4" w:space="0" w:color="auto"/>
          </w:tcBorders>
          <w:vAlign w:val="bottom"/>
        </w:tcPr>
        <w:p w14:paraId="44497443" w14:textId="7580D15B" w:rsidR="008522CE" w:rsidRPr="00EC24AC" w:rsidRDefault="00043D60" w:rsidP="007A7CA7">
          <w:pPr>
            <w:pStyle w:val="Kopfzeile"/>
            <w:rPr>
              <w:b/>
              <w:bCs/>
              <w:color w:val="808080"/>
              <w:sz w:val="16"/>
            </w:rPr>
          </w:pPr>
          <w:r w:rsidRPr="00043D60">
            <w:rPr>
              <w:b/>
              <w:bCs/>
              <w:noProof/>
              <w:color w:val="808080"/>
              <w:sz w:val="16"/>
            </w:rPr>
            <w:drawing>
              <wp:inline distT="0" distB="0" distL="0" distR="0" wp14:anchorId="69EC7E20" wp14:editId="7C9E5E6F">
                <wp:extent cx="3054350" cy="955032"/>
                <wp:effectExtent l="0" t="0" r="0" b="0"/>
                <wp:docPr id="1699762723" name="Grafik 169976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139285" cy="981589"/>
                        </a:xfrm>
                        <a:prstGeom prst="rect">
                          <a:avLst/>
                        </a:prstGeom>
                      </pic:spPr>
                    </pic:pic>
                  </a:graphicData>
                </a:graphic>
              </wp:inline>
            </w:drawing>
          </w:r>
        </w:p>
      </w:tc>
    </w:tr>
  </w:tbl>
  <w:p w14:paraId="2ED1B152"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D72C9B"/>
    <w:multiLevelType w:val="hybridMultilevel"/>
    <w:tmpl w:val="FB964EEC"/>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CD6F5B"/>
    <w:multiLevelType w:val="hybridMultilevel"/>
    <w:tmpl w:val="980697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993452"/>
    <w:multiLevelType w:val="hybridMultilevel"/>
    <w:tmpl w:val="5768A2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4C47441"/>
    <w:multiLevelType w:val="hybridMultilevel"/>
    <w:tmpl w:val="9872F9EC"/>
    <w:lvl w:ilvl="0" w:tplc="0407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FED2310"/>
    <w:multiLevelType w:val="hybridMultilevel"/>
    <w:tmpl w:val="99ACD5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68021475">
    <w:abstractNumId w:val="10"/>
  </w:num>
  <w:num w:numId="2" w16cid:durableId="1804158717">
    <w:abstractNumId w:val="21"/>
  </w:num>
  <w:num w:numId="3" w16cid:durableId="1548251974">
    <w:abstractNumId w:val="26"/>
  </w:num>
  <w:num w:numId="4" w16cid:durableId="869875702">
    <w:abstractNumId w:val="11"/>
  </w:num>
  <w:num w:numId="5" w16cid:durableId="1526597782">
    <w:abstractNumId w:val="6"/>
  </w:num>
  <w:num w:numId="6" w16cid:durableId="867765150">
    <w:abstractNumId w:val="8"/>
  </w:num>
  <w:num w:numId="7" w16cid:durableId="1798405097">
    <w:abstractNumId w:val="13"/>
  </w:num>
  <w:num w:numId="8" w16cid:durableId="388921494">
    <w:abstractNumId w:val="12"/>
  </w:num>
  <w:num w:numId="9" w16cid:durableId="1308784843">
    <w:abstractNumId w:val="9"/>
  </w:num>
  <w:num w:numId="10" w16cid:durableId="998121745">
    <w:abstractNumId w:val="5"/>
  </w:num>
  <w:num w:numId="11" w16cid:durableId="1808205416">
    <w:abstractNumId w:val="23"/>
  </w:num>
  <w:num w:numId="12" w16cid:durableId="210113988">
    <w:abstractNumId w:val="15"/>
  </w:num>
  <w:num w:numId="13" w16cid:durableId="1970042432">
    <w:abstractNumId w:val="16"/>
  </w:num>
  <w:num w:numId="14" w16cid:durableId="1035348882">
    <w:abstractNumId w:val="14"/>
  </w:num>
  <w:num w:numId="15" w16cid:durableId="300035607">
    <w:abstractNumId w:val="17"/>
  </w:num>
  <w:num w:numId="16" w16cid:durableId="978144461">
    <w:abstractNumId w:val="18"/>
  </w:num>
  <w:num w:numId="17" w16cid:durableId="638414688">
    <w:abstractNumId w:val="19"/>
  </w:num>
  <w:num w:numId="18" w16cid:durableId="1809593188">
    <w:abstractNumId w:val="4"/>
  </w:num>
  <w:num w:numId="19" w16cid:durableId="310256859">
    <w:abstractNumId w:val="3"/>
  </w:num>
  <w:num w:numId="20" w16cid:durableId="484276499">
    <w:abstractNumId w:val="2"/>
  </w:num>
  <w:num w:numId="21" w16cid:durableId="542445318">
    <w:abstractNumId w:val="1"/>
  </w:num>
  <w:num w:numId="22" w16cid:durableId="688532022">
    <w:abstractNumId w:val="0"/>
  </w:num>
  <w:num w:numId="23" w16cid:durableId="264195376">
    <w:abstractNumId w:val="22"/>
  </w:num>
  <w:num w:numId="24" w16cid:durableId="366957148">
    <w:abstractNumId w:val="7"/>
  </w:num>
  <w:num w:numId="25" w16cid:durableId="1862819838">
    <w:abstractNumId w:val="25"/>
  </w:num>
  <w:num w:numId="26" w16cid:durableId="890534815">
    <w:abstractNumId w:val="24"/>
  </w:num>
  <w:num w:numId="27" w16cid:durableId="21362175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43D60"/>
    <w:rsid w:val="000779E6"/>
    <w:rsid w:val="00092CAA"/>
    <w:rsid w:val="000B50CC"/>
    <w:rsid w:val="000C6A2D"/>
    <w:rsid w:val="00111E67"/>
    <w:rsid w:val="0015409B"/>
    <w:rsid w:val="001A70C9"/>
    <w:rsid w:val="001B429B"/>
    <w:rsid w:val="00205D0C"/>
    <w:rsid w:val="00221BA5"/>
    <w:rsid w:val="00253097"/>
    <w:rsid w:val="0027096C"/>
    <w:rsid w:val="002766CF"/>
    <w:rsid w:val="0028515F"/>
    <w:rsid w:val="00287D7D"/>
    <w:rsid w:val="002A5D13"/>
    <w:rsid w:val="002B029B"/>
    <w:rsid w:val="002B4419"/>
    <w:rsid w:val="002D45E4"/>
    <w:rsid w:val="002E4378"/>
    <w:rsid w:val="00332CA1"/>
    <w:rsid w:val="003511D4"/>
    <w:rsid w:val="003615F4"/>
    <w:rsid w:val="003676E3"/>
    <w:rsid w:val="00380EF0"/>
    <w:rsid w:val="0039497C"/>
    <w:rsid w:val="003A4ED1"/>
    <w:rsid w:val="003E3400"/>
    <w:rsid w:val="00433F51"/>
    <w:rsid w:val="0045558D"/>
    <w:rsid w:val="004639C0"/>
    <w:rsid w:val="004955F6"/>
    <w:rsid w:val="00496C3D"/>
    <w:rsid w:val="004A47F9"/>
    <w:rsid w:val="004C2396"/>
    <w:rsid w:val="0050689E"/>
    <w:rsid w:val="00534FB6"/>
    <w:rsid w:val="00551B88"/>
    <w:rsid w:val="00587D31"/>
    <w:rsid w:val="005F4EB3"/>
    <w:rsid w:val="00614D0A"/>
    <w:rsid w:val="00653E72"/>
    <w:rsid w:val="00661981"/>
    <w:rsid w:val="0066479A"/>
    <w:rsid w:val="006A5CFE"/>
    <w:rsid w:val="006E18EF"/>
    <w:rsid w:val="00725FA4"/>
    <w:rsid w:val="007A7CA7"/>
    <w:rsid w:val="007B0290"/>
    <w:rsid w:val="007C0AE5"/>
    <w:rsid w:val="007D58D2"/>
    <w:rsid w:val="007E1A2E"/>
    <w:rsid w:val="00841FA8"/>
    <w:rsid w:val="008522CE"/>
    <w:rsid w:val="00852BFB"/>
    <w:rsid w:val="00860ECB"/>
    <w:rsid w:val="008633AC"/>
    <w:rsid w:val="008838E4"/>
    <w:rsid w:val="00887070"/>
    <w:rsid w:val="008B1F83"/>
    <w:rsid w:val="008C0D29"/>
    <w:rsid w:val="008E3374"/>
    <w:rsid w:val="008E4B8D"/>
    <w:rsid w:val="008E62B1"/>
    <w:rsid w:val="00937B0B"/>
    <w:rsid w:val="0094172F"/>
    <w:rsid w:val="009433D9"/>
    <w:rsid w:val="00983536"/>
    <w:rsid w:val="009908DD"/>
    <w:rsid w:val="009B721F"/>
    <w:rsid w:val="009E79DF"/>
    <w:rsid w:val="00A06C64"/>
    <w:rsid w:val="00A24EA3"/>
    <w:rsid w:val="00A24F05"/>
    <w:rsid w:val="00A6202E"/>
    <w:rsid w:val="00B01FFE"/>
    <w:rsid w:val="00B707AF"/>
    <w:rsid w:val="00B77525"/>
    <w:rsid w:val="00B87D52"/>
    <w:rsid w:val="00BD71E9"/>
    <w:rsid w:val="00BF7A72"/>
    <w:rsid w:val="00C310AF"/>
    <w:rsid w:val="00C73E1A"/>
    <w:rsid w:val="00CC38C8"/>
    <w:rsid w:val="00D758F4"/>
    <w:rsid w:val="00DB32C7"/>
    <w:rsid w:val="00E2265E"/>
    <w:rsid w:val="00E353A3"/>
    <w:rsid w:val="00E87E7D"/>
    <w:rsid w:val="00EC24AC"/>
    <w:rsid w:val="00EC3153"/>
    <w:rsid w:val="00F20663"/>
    <w:rsid w:val="00F27330"/>
    <w:rsid w:val="00F43559"/>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C0809"/>
  <w15:chartTrackingRefBased/>
  <w15:docId w15:val="{34E61B2E-A1BB-499B-A7CA-A424FAD6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character" w:styleId="Kommentarzeichen">
    <w:name w:val="annotation reference"/>
    <w:basedOn w:val="Absatz-Standardschriftart"/>
    <w:uiPriority w:val="99"/>
    <w:semiHidden/>
    <w:unhideWhenUsed/>
    <w:rsid w:val="0039497C"/>
    <w:rPr>
      <w:sz w:val="16"/>
      <w:szCs w:val="16"/>
    </w:rPr>
  </w:style>
  <w:style w:type="paragraph" w:styleId="Kommentartext">
    <w:name w:val="annotation text"/>
    <w:basedOn w:val="Standard"/>
    <w:link w:val="KommentartextZchn"/>
    <w:uiPriority w:val="99"/>
    <w:unhideWhenUsed/>
    <w:rsid w:val="0039497C"/>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KommentartextZchn">
    <w:name w:val="Kommentartext Zchn"/>
    <w:basedOn w:val="Absatz-Standardschriftart"/>
    <w:link w:val="Kommentartext"/>
    <w:uiPriority w:val="99"/>
    <w:rsid w:val="0039497C"/>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55CC45-F35D-4848-8AED-5115BE2A93C8}">
  <ds:schemaRefs>
    <ds:schemaRef ds:uri="http://schemas.openxmlformats.org/officeDocument/2006/bibliography"/>
  </ds:schemaRefs>
</ds:datastoreItem>
</file>

<file path=customXml/itemProps3.xml><?xml version="1.0" encoding="utf-8"?>
<ds:datastoreItem xmlns:ds="http://schemas.openxmlformats.org/officeDocument/2006/customXml" ds:itemID="{C0F6A540-03CA-47AC-B6F5-D055EFEA8240}"/>
</file>

<file path=customXml/itemProps4.xml><?xml version="1.0" encoding="utf-8"?>
<ds:datastoreItem xmlns:ds="http://schemas.openxmlformats.org/officeDocument/2006/customXml" ds:itemID="{E7D02A04-8DC7-4320-BDE7-AE112AA5D475}"/>
</file>

<file path=customXml/itemProps5.xml><?xml version="1.0" encoding="utf-8"?>
<ds:datastoreItem xmlns:ds="http://schemas.openxmlformats.org/officeDocument/2006/customXml" ds:itemID="{A3276AD2-76F6-421F-A765-2392D7AB4C24}"/>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1865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2024-06-06T21:10:00Z</dcterms:created>
  <dcterms:modified xsi:type="dcterms:W3CDTF">2024-06-06T21:10:00Z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