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5DF36" w14:textId="77777777" w:rsidR="002A5D13" w:rsidRDefault="009C06A2" w:rsidP="007A7CA7">
      <w:pPr>
        <w:tabs>
          <w:tab w:val="left" w:pos="5280"/>
        </w:tabs>
        <w:rPr>
          <w:b/>
          <w:noProof/>
          <w:lang w:eastAsia="de-DE"/>
        </w:rPr>
      </w:pPr>
      <w:r>
        <w:rPr>
          <w:b/>
          <w:noProof/>
          <w:lang w:eastAsia="de-DE"/>
        </w:rPr>
        <w:t xml:space="preserve"> </w:t>
      </w:r>
      <w:r w:rsidR="007A7CA7">
        <w:rPr>
          <w:b/>
          <w:noProof/>
          <w:lang w:eastAsia="de-DE"/>
        </w:rPr>
        <w:tab/>
      </w:r>
    </w:p>
    <w:p w14:paraId="08D94635" w14:textId="4B31736E" w:rsidR="007A7CA7" w:rsidRDefault="007A7CA7" w:rsidP="00FE3D5E">
      <w:pPr>
        <w:tabs>
          <w:tab w:val="left" w:pos="1365"/>
          <w:tab w:val="left" w:pos="2430"/>
          <w:tab w:val="left" w:pos="4185"/>
          <w:tab w:val="left" w:pos="6900"/>
        </w:tabs>
      </w:pPr>
      <w:r>
        <w:tab/>
      </w:r>
      <w:r w:rsidR="005E1850">
        <w:tab/>
      </w:r>
      <w:r>
        <w:tab/>
      </w:r>
      <w:r w:rsidR="00B707AF">
        <w:tab/>
      </w:r>
    </w:p>
    <w:p w14:paraId="3F0AD7CE" w14:textId="77777777" w:rsidR="006707EA" w:rsidRDefault="006707EA" w:rsidP="00FE3D5E">
      <w:pPr>
        <w:spacing w:before="120" w:after="120"/>
        <w:rPr>
          <w:rFonts w:ascii="Arial" w:hAnsi="Arial" w:cs="Arial"/>
          <w:bCs/>
          <w:color w:val="000000" w:themeColor="text1"/>
          <w:sz w:val="24"/>
          <w:szCs w:val="24"/>
        </w:rPr>
      </w:pPr>
    </w:p>
    <w:p w14:paraId="629BCE3D" w14:textId="77777777" w:rsidR="006707EA" w:rsidRDefault="006707EA" w:rsidP="00FE3D5E">
      <w:pPr>
        <w:spacing w:before="120" w:after="120"/>
        <w:rPr>
          <w:rFonts w:ascii="Arial" w:hAnsi="Arial" w:cs="Arial"/>
          <w:bCs/>
          <w:color w:val="000000" w:themeColor="text1"/>
          <w:sz w:val="24"/>
          <w:szCs w:val="24"/>
        </w:rPr>
      </w:pPr>
    </w:p>
    <w:tbl>
      <w:tblPr>
        <w:tblW w:w="9799" w:type="dxa"/>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401"/>
        <w:gridCol w:w="6398"/>
      </w:tblGrid>
      <w:tr w:rsidR="006707EA" w:rsidRPr="006707EA" w14:paraId="0E52CA62" w14:textId="77777777" w:rsidTr="006707EA">
        <w:tblPrEx>
          <w:tblCellMar>
            <w:top w:w="0" w:type="dxa"/>
            <w:bottom w:w="0" w:type="dxa"/>
          </w:tblCellMar>
        </w:tblPrEx>
        <w:trPr>
          <w:trHeight w:val="278"/>
          <w:jc w:val="center"/>
        </w:trPr>
        <w:tc>
          <w:tcPr>
            <w:tcW w:w="9799" w:type="dxa"/>
            <w:gridSpan w:val="2"/>
            <w:tcBorders>
              <w:top w:val="none" w:sz="6" w:space="0" w:color="auto"/>
              <w:left w:val="none" w:sz="6" w:space="0" w:color="auto"/>
              <w:bottom w:val="none" w:sz="6" w:space="0" w:color="auto"/>
              <w:right w:val="none" w:sz="6" w:space="0" w:color="auto"/>
            </w:tcBorders>
            <w:shd w:val="clear" w:color="auto" w:fill="193965"/>
          </w:tcPr>
          <w:p w14:paraId="02764572" w14:textId="77777777" w:rsidR="006707EA" w:rsidRPr="006707EA" w:rsidRDefault="006707EA" w:rsidP="006707EA">
            <w:pPr>
              <w:spacing w:before="120" w:after="120"/>
              <w:rPr>
                <w:rFonts w:ascii="Arial" w:hAnsi="Arial" w:cs="Arial"/>
                <w:b/>
                <w:color w:val="FFFFFF"/>
                <w:sz w:val="28"/>
                <w:szCs w:val="28"/>
              </w:rPr>
            </w:pPr>
            <w:r w:rsidRPr="006707EA">
              <w:rPr>
                <w:rFonts w:ascii="Arial" w:hAnsi="Arial" w:cs="Arial"/>
                <w:b/>
                <w:color w:val="FFFFFF"/>
                <w:sz w:val="28"/>
                <w:szCs w:val="28"/>
              </w:rPr>
              <w:t>Übersicht: Deeskalierende Formulierungen für brenzlige Situationen</w:t>
            </w:r>
          </w:p>
        </w:tc>
      </w:tr>
      <w:tr w:rsidR="006707EA" w:rsidRPr="006707EA" w14:paraId="77AF3B60" w14:textId="77777777" w:rsidTr="006707EA">
        <w:tblPrEx>
          <w:tblCellMar>
            <w:top w:w="0" w:type="dxa"/>
            <w:bottom w:w="0" w:type="dxa"/>
          </w:tblCellMar>
        </w:tblPrEx>
        <w:trPr>
          <w:trHeight w:val="139"/>
          <w:jc w:val="center"/>
        </w:trPr>
        <w:tc>
          <w:tcPr>
            <w:tcW w:w="3401" w:type="dxa"/>
            <w:tcBorders>
              <w:top w:val="none" w:sz="6" w:space="0" w:color="auto"/>
              <w:left w:val="none" w:sz="6" w:space="0" w:color="auto"/>
              <w:bottom w:val="none" w:sz="6" w:space="0" w:color="auto"/>
              <w:right w:val="none" w:sz="6" w:space="0" w:color="auto"/>
            </w:tcBorders>
            <w:shd w:val="clear" w:color="auto" w:fill="C7E3AB"/>
          </w:tcPr>
          <w:p w14:paraId="192ACC47" w14:textId="77777777" w:rsidR="006707EA" w:rsidRPr="006707EA" w:rsidRDefault="006707EA" w:rsidP="006707EA">
            <w:pPr>
              <w:spacing w:before="120" w:after="120"/>
              <w:rPr>
                <w:rFonts w:ascii="Arial" w:hAnsi="Arial" w:cs="Arial"/>
                <w:bCs/>
                <w:color w:val="000000" w:themeColor="text1"/>
                <w:sz w:val="24"/>
                <w:szCs w:val="24"/>
              </w:rPr>
            </w:pPr>
            <w:r w:rsidRPr="006707EA">
              <w:rPr>
                <w:rFonts w:ascii="Arial" w:hAnsi="Arial" w:cs="Arial"/>
                <w:b/>
                <w:bCs/>
                <w:color w:val="000000" w:themeColor="text1"/>
                <w:sz w:val="24"/>
                <w:szCs w:val="24"/>
              </w:rPr>
              <w:t>Aussage des Angehörigen</w:t>
            </w:r>
          </w:p>
        </w:tc>
        <w:tc>
          <w:tcPr>
            <w:tcW w:w="6398" w:type="dxa"/>
            <w:tcBorders>
              <w:top w:val="none" w:sz="6" w:space="0" w:color="auto"/>
              <w:left w:val="none" w:sz="6" w:space="0" w:color="auto"/>
              <w:bottom w:val="none" w:sz="6" w:space="0" w:color="auto"/>
              <w:right w:val="none" w:sz="6" w:space="0" w:color="auto"/>
            </w:tcBorders>
            <w:shd w:val="clear" w:color="auto" w:fill="C7E3AB"/>
          </w:tcPr>
          <w:p w14:paraId="19EB6C87" w14:textId="77777777" w:rsidR="006707EA" w:rsidRPr="006707EA" w:rsidRDefault="006707EA" w:rsidP="006707EA">
            <w:pPr>
              <w:spacing w:before="120" w:after="120"/>
              <w:rPr>
                <w:rFonts w:ascii="Arial" w:hAnsi="Arial" w:cs="Arial"/>
                <w:bCs/>
                <w:color w:val="000000" w:themeColor="text1"/>
                <w:sz w:val="24"/>
                <w:szCs w:val="24"/>
              </w:rPr>
            </w:pPr>
            <w:r w:rsidRPr="006707EA">
              <w:rPr>
                <w:rFonts w:ascii="Arial" w:hAnsi="Arial" w:cs="Arial"/>
                <w:b/>
                <w:bCs/>
                <w:color w:val="000000" w:themeColor="text1"/>
                <w:sz w:val="24"/>
                <w:szCs w:val="24"/>
              </w:rPr>
              <w:t>Mögliche professionelle Reaktion</w:t>
            </w:r>
          </w:p>
        </w:tc>
      </w:tr>
      <w:tr w:rsidR="006707EA" w:rsidRPr="006707EA" w14:paraId="338555B1" w14:textId="77777777" w:rsidTr="006707EA">
        <w:tblPrEx>
          <w:tblCellMar>
            <w:top w:w="0" w:type="dxa"/>
            <w:bottom w:w="0" w:type="dxa"/>
          </w:tblCellMar>
        </w:tblPrEx>
        <w:trPr>
          <w:trHeight w:val="1116"/>
          <w:jc w:val="center"/>
        </w:trPr>
        <w:tc>
          <w:tcPr>
            <w:tcW w:w="3401" w:type="dxa"/>
            <w:tcBorders>
              <w:top w:val="none" w:sz="6" w:space="0" w:color="auto"/>
              <w:left w:val="none" w:sz="6" w:space="0" w:color="auto"/>
              <w:bottom w:val="none" w:sz="6" w:space="0" w:color="auto"/>
              <w:right w:val="none" w:sz="6" w:space="0" w:color="auto"/>
            </w:tcBorders>
          </w:tcPr>
          <w:p w14:paraId="1885C4E5" w14:textId="77777777" w:rsidR="006707EA" w:rsidRPr="006707EA" w:rsidRDefault="006707EA" w:rsidP="006707EA">
            <w:pPr>
              <w:spacing w:before="120" w:after="120"/>
              <w:rPr>
                <w:rFonts w:ascii="Arial" w:hAnsi="Arial" w:cs="Arial"/>
                <w:bCs/>
                <w:color w:val="000000" w:themeColor="text1"/>
                <w:sz w:val="24"/>
                <w:szCs w:val="24"/>
              </w:rPr>
            </w:pPr>
            <w:r w:rsidRPr="006707EA">
              <w:rPr>
                <w:rFonts w:ascii="Arial" w:hAnsi="Arial" w:cs="Arial"/>
                <w:bCs/>
                <w:i/>
                <w:iCs/>
                <w:color w:val="000000" w:themeColor="text1"/>
                <w:sz w:val="24"/>
                <w:szCs w:val="24"/>
              </w:rPr>
              <w:t>„Meine Mutter ist immer noch nicht gewaschen, dabei ist schon 10:30 Uhr!“</w:t>
            </w:r>
          </w:p>
        </w:tc>
        <w:tc>
          <w:tcPr>
            <w:tcW w:w="6398" w:type="dxa"/>
            <w:tcBorders>
              <w:top w:val="none" w:sz="6" w:space="0" w:color="auto"/>
              <w:left w:val="none" w:sz="6" w:space="0" w:color="auto"/>
              <w:bottom w:val="single" w:sz="4" w:space="0" w:color="auto"/>
              <w:right w:val="none" w:sz="6" w:space="0" w:color="auto"/>
            </w:tcBorders>
          </w:tcPr>
          <w:p w14:paraId="5EDF31C6" w14:textId="77777777" w:rsidR="006707EA" w:rsidRPr="006707EA" w:rsidRDefault="006707EA" w:rsidP="006707EA">
            <w:pPr>
              <w:spacing w:before="120" w:after="120"/>
              <w:rPr>
                <w:rFonts w:ascii="Arial" w:hAnsi="Arial" w:cs="Arial"/>
                <w:bCs/>
                <w:color w:val="000000" w:themeColor="text1"/>
                <w:sz w:val="24"/>
                <w:szCs w:val="24"/>
              </w:rPr>
            </w:pPr>
            <w:r w:rsidRPr="006707EA">
              <w:rPr>
                <w:rFonts w:ascii="Arial" w:hAnsi="Arial" w:cs="Arial"/>
                <w:bCs/>
                <w:i/>
                <w:iCs/>
                <w:color w:val="000000" w:themeColor="text1"/>
                <w:sz w:val="24"/>
                <w:szCs w:val="24"/>
              </w:rPr>
              <w:t>„Ich verstehe, dass Ihnen das wichtig ist. Wir haben Ihre Mutter nicht vergessen, aber wir orientieren uns immer an den Wünschen und Bedürfnisse unserer Pflegekunden. Als ich vorhin im Zimmer war und Ihrer Mutter die Schilddrüsenmedikation verabreich</w:t>
            </w:r>
            <w:r w:rsidRPr="006707EA">
              <w:rPr>
                <w:rFonts w:ascii="Arial" w:hAnsi="Arial" w:cs="Arial"/>
                <w:bCs/>
                <w:i/>
                <w:iCs/>
                <w:color w:val="000000" w:themeColor="text1"/>
                <w:sz w:val="24"/>
                <w:szCs w:val="24"/>
              </w:rPr>
              <w:softHyphen/>
              <w:t>te, sagte sie mir, dass sie in der letzten Nacht ganz schlecht schlafen konnte und noch sehr müde sei. Sie wirkte ganz erleichtert, als ich ihr sagte, dass ich, falls sie möchte, heute etwas später zu ihr kommen kann, um sie zu pflegen.“</w:t>
            </w:r>
          </w:p>
        </w:tc>
      </w:tr>
      <w:tr w:rsidR="006707EA" w:rsidRPr="006707EA" w14:paraId="7570F95A" w14:textId="77777777" w:rsidTr="006707EA">
        <w:tblPrEx>
          <w:tblCellMar>
            <w:top w:w="0" w:type="dxa"/>
            <w:bottom w:w="0" w:type="dxa"/>
          </w:tblCellMar>
        </w:tblPrEx>
        <w:trPr>
          <w:trHeight w:val="346"/>
          <w:jc w:val="center"/>
        </w:trPr>
        <w:tc>
          <w:tcPr>
            <w:tcW w:w="3401" w:type="dxa"/>
            <w:tcBorders>
              <w:top w:val="none" w:sz="6" w:space="0" w:color="auto"/>
              <w:left w:val="none" w:sz="6" w:space="0" w:color="auto"/>
              <w:bottom w:val="none" w:sz="6" w:space="0" w:color="auto"/>
              <w:right w:val="single" w:sz="4" w:space="0" w:color="auto"/>
            </w:tcBorders>
          </w:tcPr>
          <w:p w14:paraId="1D353C32" w14:textId="77777777" w:rsidR="006707EA" w:rsidRPr="006707EA" w:rsidRDefault="006707EA" w:rsidP="006707EA">
            <w:pPr>
              <w:spacing w:before="120" w:after="120"/>
              <w:rPr>
                <w:rFonts w:ascii="Arial" w:hAnsi="Arial" w:cs="Arial"/>
                <w:bCs/>
                <w:color w:val="000000" w:themeColor="text1"/>
                <w:sz w:val="24"/>
                <w:szCs w:val="24"/>
              </w:rPr>
            </w:pPr>
            <w:r w:rsidRPr="006707EA">
              <w:rPr>
                <w:rFonts w:ascii="Arial" w:hAnsi="Arial" w:cs="Arial"/>
                <w:bCs/>
                <w:i/>
                <w:iCs/>
                <w:color w:val="000000" w:themeColor="text1"/>
                <w:sz w:val="24"/>
                <w:szCs w:val="24"/>
              </w:rPr>
              <w:t>„Sie kümmern sich nicht richtig um meinen Vater!“</w:t>
            </w:r>
          </w:p>
        </w:tc>
        <w:tc>
          <w:tcPr>
            <w:tcW w:w="6398" w:type="dxa"/>
            <w:tcBorders>
              <w:top w:val="single" w:sz="4" w:space="0" w:color="auto"/>
              <w:left w:val="single" w:sz="4" w:space="0" w:color="auto"/>
              <w:bottom w:val="none" w:sz="6" w:space="0" w:color="auto"/>
              <w:right w:val="single" w:sz="4" w:space="0" w:color="auto"/>
            </w:tcBorders>
          </w:tcPr>
          <w:p w14:paraId="1E531C4A" w14:textId="77777777" w:rsidR="006707EA" w:rsidRPr="006707EA" w:rsidRDefault="006707EA" w:rsidP="006707EA">
            <w:pPr>
              <w:spacing w:before="120" w:after="120"/>
              <w:rPr>
                <w:rFonts w:ascii="Arial" w:hAnsi="Arial" w:cs="Arial"/>
                <w:bCs/>
                <w:color w:val="000000" w:themeColor="text1"/>
                <w:sz w:val="24"/>
                <w:szCs w:val="24"/>
              </w:rPr>
            </w:pPr>
            <w:r w:rsidRPr="006707EA">
              <w:rPr>
                <w:rFonts w:ascii="Arial" w:hAnsi="Arial" w:cs="Arial"/>
                <w:bCs/>
                <w:i/>
                <w:iCs/>
                <w:color w:val="000000" w:themeColor="text1"/>
                <w:sz w:val="24"/>
                <w:szCs w:val="24"/>
              </w:rPr>
              <w:t>„Ich nehme Ihre Rückmeldung sehr ernst. Können Sie mir kurz schildern, was Ihnen konkret aufgefallen ist, damit wir das Problem abstellen können?“</w:t>
            </w:r>
          </w:p>
        </w:tc>
      </w:tr>
      <w:tr w:rsidR="006707EA" w:rsidRPr="006707EA" w14:paraId="43A03340" w14:textId="77777777" w:rsidTr="006707EA">
        <w:tblPrEx>
          <w:tblCellMar>
            <w:top w:w="0" w:type="dxa"/>
            <w:bottom w:w="0" w:type="dxa"/>
          </w:tblCellMar>
        </w:tblPrEx>
        <w:trPr>
          <w:trHeight w:val="566"/>
          <w:jc w:val="center"/>
        </w:trPr>
        <w:tc>
          <w:tcPr>
            <w:tcW w:w="3401" w:type="dxa"/>
            <w:tcBorders>
              <w:top w:val="none" w:sz="6" w:space="0" w:color="auto"/>
              <w:left w:val="none" w:sz="6" w:space="0" w:color="auto"/>
              <w:bottom w:val="none" w:sz="6" w:space="0" w:color="auto"/>
              <w:right w:val="none" w:sz="6" w:space="0" w:color="auto"/>
            </w:tcBorders>
          </w:tcPr>
          <w:p w14:paraId="0A1AF3ED" w14:textId="77777777" w:rsidR="006707EA" w:rsidRPr="006707EA" w:rsidRDefault="006707EA" w:rsidP="006707EA">
            <w:pPr>
              <w:spacing w:before="120" w:after="120"/>
              <w:rPr>
                <w:rFonts w:ascii="Arial" w:hAnsi="Arial" w:cs="Arial"/>
                <w:bCs/>
                <w:color w:val="000000" w:themeColor="text1"/>
                <w:sz w:val="24"/>
                <w:szCs w:val="24"/>
              </w:rPr>
            </w:pPr>
            <w:r w:rsidRPr="006707EA">
              <w:rPr>
                <w:rFonts w:ascii="Arial" w:hAnsi="Arial" w:cs="Arial"/>
                <w:bCs/>
                <w:i/>
                <w:iCs/>
                <w:color w:val="000000" w:themeColor="text1"/>
                <w:sz w:val="24"/>
                <w:szCs w:val="24"/>
              </w:rPr>
              <w:t>„Bei uns zu Hause lief das viel besser als hier!“</w:t>
            </w:r>
          </w:p>
        </w:tc>
        <w:tc>
          <w:tcPr>
            <w:tcW w:w="6398" w:type="dxa"/>
            <w:tcBorders>
              <w:top w:val="none" w:sz="6" w:space="0" w:color="auto"/>
              <w:left w:val="none" w:sz="6" w:space="0" w:color="auto"/>
              <w:bottom w:val="single" w:sz="4" w:space="0" w:color="auto"/>
              <w:right w:val="none" w:sz="6" w:space="0" w:color="auto"/>
            </w:tcBorders>
          </w:tcPr>
          <w:p w14:paraId="470C72E2" w14:textId="77777777" w:rsidR="006707EA" w:rsidRPr="006707EA" w:rsidRDefault="006707EA" w:rsidP="006707EA">
            <w:pPr>
              <w:spacing w:before="120" w:after="120"/>
              <w:rPr>
                <w:rFonts w:ascii="Arial" w:hAnsi="Arial" w:cs="Arial"/>
                <w:bCs/>
                <w:color w:val="000000" w:themeColor="text1"/>
                <w:sz w:val="24"/>
                <w:szCs w:val="24"/>
              </w:rPr>
            </w:pPr>
            <w:r w:rsidRPr="006707EA">
              <w:rPr>
                <w:rFonts w:ascii="Arial" w:hAnsi="Arial" w:cs="Arial"/>
                <w:bCs/>
                <w:i/>
                <w:iCs/>
                <w:color w:val="000000" w:themeColor="text1"/>
                <w:sz w:val="24"/>
                <w:szCs w:val="24"/>
              </w:rPr>
              <w:t>„Ich kann nachvollziehen, dass es Ihnen schwergefal</w:t>
            </w:r>
            <w:r w:rsidRPr="006707EA">
              <w:rPr>
                <w:rFonts w:ascii="Arial" w:hAnsi="Arial" w:cs="Arial"/>
                <w:bCs/>
                <w:i/>
                <w:iCs/>
                <w:color w:val="000000" w:themeColor="text1"/>
                <w:sz w:val="24"/>
                <w:szCs w:val="24"/>
              </w:rPr>
              <w:softHyphen/>
              <w:t>len ist, sich für eine vollstationäre Pflegeeinrichtung zu entscheiden. Ich sichere Ihnen zu, dass wir uns bemühen, den Alltag für Ihren Zugehörigen so ange</w:t>
            </w:r>
            <w:r w:rsidRPr="006707EA">
              <w:rPr>
                <w:rFonts w:ascii="Arial" w:hAnsi="Arial" w:cs="Arial"/>
                <w:bCs/>
                <w:i/>
                <w:iCs/>
                <w:color w:val="000000" w:themeColor="text1"/>
                <w:sz w:val="24"/>
                <w:szCs w:val="24"/>
              </w:rPr>
              <w:softHyphen/>
              <w:t>nehm wie möglich zu gestalten.“</w:t>
            </w:r>
          </w:p>
        </w:tc>
      </w:tr>
      <w:tr w:rsidR="006707EA" w:rsidRPr="006707EA" w14:paraId="02518C26" w14:textId="77777777" w:rsidTr="006707EA">
        <w:tblPrEx>
          <w:tblCellMar>
            <w:top w:w="0" w:type="dxa"/>
            <w:bottom w:w="0" w:type="dxa"/>
          </w:tblCellMar>
        </w:tblPrEx>
        <w:trPr>
          <w:trHeight w:val="346"/>
          <w:jc w:val="center"/>
        </w:trPr>
        <w:tc>
          <w:tcPr>
            <w:tcW w:w="3401" w:type="dxa"/>
            <w:tcBorders>
              <w:top w:val="none" w:sz="6" w:space="0" w:color="auto"/>
              <w:left w:val="none" w:sz="6" w:space="0" w:color="auto"/>
              <w:bottom w:val="none" w:sz="6" w:space="0" w:color="auto"/>
              <w:right w:val="single" w:sz="4" w:space="0" w:color="auto"/>
            </w:tcBorders>
          </w:tcPr>
          <w:p w14:paraId="73DAEE58" w14:textId="77777777" w:rsidR="006707EA" w:rsidRPr="006707EA" w:rsidRDefault="006707EA" w:rsidP="006707EA">
            <w:pPr>
              <w:spacing w:before="120" w:after="120"/>
              <w:rPr>
                <w:rFonts w:ascii="Arial" w:hAnsi="Arial" w:cs="Arial"/>
                <w:bCs/>
                <w:color w:val="000000" w:themeColor="text1"/>
                <w:sz w:val="24"/>
                <w:szCs w:val="24"/>
              </w:rPr>
            </w:pPr>
            <w:r w:rsidRPr="006707EA">
              <w:rPr>
                <w:rFonts w:ascii="Arial" w:hAnsi="Arial" w:cs="Arial"/>
                <w:bCs/>
                <w:i/>
                <w:iCs/>
                <w:color w:val="000000" w:themeColor="text1"/>
                <w:sz w:val="24"/>
                <w:szCs w:val="24"/>
              </w:rPr>
              <w:t>„Sie haben doch gar kei</w:t>
            </w:r>
            <w:r w:rsidRPr="006707EA">
              <w:rPr>
                <w:rFonts w:ascii="Arial" w:hAnsi="Arial" w:cs="Arial"/>
                <w:bCs/>
                <w:i/>
                <w:iCs/>
                <w:color w:val="000000" w:themeColor="text1"/>
                <w:sz w:val="24"/>
                <w:szCs w:val="24"/>
              </w:rPr>
              <w:softHyphen/>
              <w:t>ne Ahnung, wie es Mutter geht!“</w:t>
            </w:r>
          </w:p>
        </w:tc>
        <w:tc>
          <w:tcPr>
            <w:tcW w:w="6398" w:type="dxa"/>
            <w:tcBorders>
              <w:top w:val="single" w:sz="4" w:space="0" w:color="auto"/>
              <w:left w:val="single" w:sz="4" w:space="0" w:color="auto"/>
              <w:bottom w:val="single" w:sz="4" w:space="0" w:color="auto"/>
              <w:right w:val="single" w:sz="4" w:space="0" w:color="auto"/>
            </w:tcBorders>
          </w:tcPr>
          <w:p w14:paraId="30F6ACD7" w14:textId="77777777" w:rsidR="006707EA" w:rsidRPr="006707EA" w:rsidRDefault="006707EA" w:rsidP="006707EA">
            <w:pPr>
              <w:spacing w:before="120" w:after="120"/>
              <w:rPr>
                <w:rFonts w:ascii="Arial" w:hAnsi="Arial" w:cs="Arial"/>
                <w:bCs/>
                <w:color w:val="000000" w:themeColor="text1"/>
                <w:sz w:val="24"/>
                <w:szCs w:val="24"/>
              </w:rPr>
            </w:pPr>
            <w:r w:rsidRPr="006707EA">
              <w:rPr>
                <w:rFonts w:ascii="Arial" w:hAnsi="Arial" w:cs="Arial"/>
                <w:bCs/>
                <w:i/>
                <w:iCs/>
                <w:color w:val="000000" w:themeColor="text1"/>
                <w:sz w:val="24"/>
                <w:szCs w:val="24"/>
              </w:rPr>
              <w:t>„Es ist gut, dass Sie als Angehörige einen so engen Draht zur Mutter haben. Gemeinsam können wir si</w:t>
            </w:r>
            <w:r w:rsidRPr="006707EA">
              <w:rPr>
                <w:rFonts w:ascii="Arial" w:hAnsi="Arial" w:cs="Arial"/>
                <w:bCs/>
                <w:i/>
                <w:iCs/>
                <w:color w:val="000000" w:themeColor="text1"/>
                <w:sz w:val="24"/>
                <w:szCs w:val="24"/>
              </w:rPr>
              <w:softHyphen/>
              <w:t>cherstellen, dass es ihr rasch besser geht.“</w:t>
            </w:r>
          </w:p>
        </w:tc>
      </w:tr>
    </w:tbl>
    <w:p w14:paraId="5EE8EA7A" w14:textId="77777777" w:rsidR="006707EA" w:rsidRPr="00FE3D5E" w:rsidRDefault="006707EA" w:rsidP="00FE3D5E">
      <w:pPr>
        <w:spacing w:before="120" w:after="120"/>
        <w:rPr>
          <w:rFonts w:ascii="Arial" w:hAnsi="Arial" w:cs="Arial"/>
          <w:bCs/>
          <w:color w:val="000000" w:themeColor="text1"/>
          <w:sz w:val="24"/>
          <w:szCs w:val="24"/>
        </w:rPr>
      </w:pPr>
    </w:p>
    <w:sectPr w:rsidR="006707EA" w:rsidRPr="00FE3D5E" w:rsidSect="009C06A2">
      <w:headerReference w:type="default" r:id="rId9"/>
      <w:pgSz w:w="11906" w:h="16838" w:code="9"/>
      <w:pgMar w:top="-284"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AB21D" w14:textId="77777777" w:rsidR="00AE4D06" w:rsidRDefault="00AE4D06" w:rsidP="002A5D13">
      <w:pPr>
        <w:spacing w:after="0" w:line="240" w:lineRule="auto"/>
      </w:pPr>
      <w:r>
        <w:separator/>
      </w:r>
    </w:p>
  </w:endnote>
  <w:endnote w:type="continuationSeparator" w:id="0">
    <w:p w14:paraId="5CB9BD1C" w14:textId="77777777" w:rsidR="00AE4D06" w:rsidRDefault="00AE4D06"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SemiBold">
    <w:altName w:val="Montserrat SemiBold"/>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388EB" w14:textId="77777777" w:rsidR="00AE4D06" w:rsidRDefault="00AE4D06" w:rsidP="002A5D13">
      <w:pPr>
        <w:spacing w:after="0" w:line="240" w:lineRule="auto"/>
      </w:pPr>
      <w:r>
        <w:separator/>
      </w:r>
    </w:p>
  </w:footnote>
  <w:footnote w:type="continuationSeparator" w:id="0">
    <w:p w14:paraId="0A9E5783" w14:textId="77777777" w:rsidR="00AE4D06" w:rsidRDefault="00AE4D06"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4D1B10A3" w14:textId="77777777" w:rsidTr="00D10D40">
      <w:tc>
        <w:tcPr>
          <w:tcW w:w="1500" w:type="pct"/>
          <w:tcBorders>
            <w:bottom w:val="single" w:sz="4" w:space="0" w:color="auto"/>
          </w:tcBorders>
          <w:shd w:val="clear" w:color="auto" w:fill="193965"/>
          <w:vAlign w:val="center"/>
        </w:tcPr>
        <w:p w14:paraId="4D9CA12B" w14:textId="616FEB7E" w:rsidR="007A7CA7" w:rsidRPr="007A7CA7" w:rsidRDefault="00D242BF" w:rsidP="005E1850">
          <w:pPr>
            <w:pStyle w:val="Kopfzeile"/>
            <w:jc w:val="center"/>
            <w:rPr>
              <w:b/>
              <w:color w:val="FFFFFF"/>
            </w:rPr>
          </w:pPr>
          <w:r>
            <w:rPr>
              <w:b/>
              <w:color w:val="FFFFFF"/>
              <w:sz w:val="24"/>
            </w:rPr>
            <w:t xml:space="preserve">Ausgabe </w:t>
          </w:r>
          <w:r w:rsidR="00FE3D5E">
            <w:rPr>
              <w:b/>
              <w:color w:val="FFFFFF"/>
              <w:sz w:val="24"/>
            </w:rPr>
            <w:t>11</w:t>
          </w:r>
          <w:r w:rsidR="00826760">
            <w:rPr>
              <w:b/>
              <w:color w:val="FFFFFF"/>
              <w:sz w:val="24"/>
            </w:rPr>
            <w:t xml:space="preserve"> - 20</w:t>
          </w:r>
          <w:r w:rsidR="00017AB1">
            <w:rPr>
              <w:b/>
              <w:color w:val="FFFFFF"/>
              <w:sz w:val="24"/>
            </w:rPr>
            <w:t>2</w:t>
          </w:r>
          <w:r w:rsidR="00825AFB">
            <w:rPr>
              <w:b/>
              <w:color w:val="FFFFFF"/>
              <w:sz w:val="24"/>
            </w:rPr>
            <w:t>5</w:t>
          </w:r>
        </w:p>
      </w:tc>
      <w:tc>
        <w:tcPr>
          <w:tcW w:w="4000" w:type="pct"/>
          <w:tcBorders>
            <w:bottom w:val="single" w:sz="4" w:space="0" w:color="auto"/>
          </w:tcBorders>
          <w:vAlign w:val="bottom"/>
        </w:tcPr>
        <w:p w14:paraId="0CDFD6C6" w14:textId="754E3407" w:rsidR="007A7CA7" w:rsidRPr="0050689E" w:rsidRDefault="00A56A28" w:rsidP="007A7CA7">
          <w:pPr>
            <w:pStyle w:val="Kopfzeile"/>
            <w:rPr>
              <w:b/>
              <w:bCs/>
              <w:color w:val="76923C"/>
              <w:sz w:val="28"/>
            </w:rPr>
          </w:pPr>
          <w:r w:rsidRPr="00D10D40">
            <w:rPr>
              <w:color w:val="193965"/>
              <w:sz w:val="36"/>
            </w:rPr>
            <w:t>Praxis:</w:t>
          </w:r>
          <w:r w:rsidRPr="00D10D40">
            <w:rPr>
              <w:b/>
              <w:bCs/>
              <w:color w:val="193965"/>
              <w:sz w:val="36"/>
            </w:rPr>
            <w:t xml:space="preserve"> Alten</w:t>
          </w:r>
          <w:r w:rsidRPr="00D10D40">
            <w:rPr>
              <w:i/>
              <w:iCs/>
              <w:color w:val="81BF41"/>
              <w:sz w:val="36"/>
            </w:rPr>
            <w:t>pflege</w:t>
          </w:r>
        </w:p>
        <w:p w14:paraId="023F2FD8" w14:textId="029196EE" w:rsidR="007A7CA7" w:rsidRPr="007A7CA7" w:rsidRDefault="00D10D40" w:rsidP="007A7CA7">
          <w:pPr>
            <w:pStyle w:val="Kopfzeile"/>
            <w:rPr>
              <w:color w:val="000000"/>
              <w:sz w:val="24"/>
            </w:rPr>
          </w:pPr>
          <w:r w:rsidRPr="00D10D40">
            <w:rPr>
              <w:bCs/>
              <w:sz w:val="18"/>
            </w:rPr>
            <w:t>Wissen kompakt für ambulante und stationäre Pflegefachkräfte</w:t>
          </w:r>
        </w:p>
      </w:tc>
    </w:tr>
  </w:tbl>
  <w:p w14:paraId="225A2CA3" w14:textId="77777777" w:rsidR="007A7CA7" w:rsidRDefault="007A7CA7">
    <w:pPr>
      <w:pStyle w:val="Kopfzeile"/>
    </w:pPr>
  </w:p>
  <w:p w14:paraId="786F3783"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022138E"/>
    <w:multiLevelType w:val="hybridMultilevel"/>
    <w:tmpl w:val="2F7895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4"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D273887"/>
    <w:multiLevelType w:val="hybridMultilevel"/>
    <w:tmpl w:val="7EC48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65254855">
    <w:abstractNumId w:val="10"/>
  </w:num>
  <w:num w:numId="2" w16cid:durableId="110518625">
    <w:abstractNumId w:val="20"/>
  </w:num>
  <w:num w:numId="3" w16cid:durableId="1023476870">
    <w:abstractNumId w:val="23"/>
  </w:num>
  <w:num w:numId="4" w16cid:durableId="1632981953">
    <w:abstractNumId w:val="11"/>
  </w:num>
  <w:num w:numId="5" w16cid:durableId="334385539">
    <w:abstractNumId w:val="7"/>
  </w:num>
  <w:num w:numId="6" w16cid:durableId="292560944">
    <w:abstractNumId w:val="8"/>
  </w:num>
  <w:num w:numId="7" w16cid:durableId="617414864">
    <w:abstractNumId w:val="13"/>
  </w:num>
  <w:num w:numId="8" w16cid:durableId="1349798627">
    <w:abstractNumId w:val="12"/>
  </w:num>
  <w:num w:numId="9" w16cid:durableId="425809380">
    <w:abstractNumId w:val="9"/>
  </w:num>
  <w:num w:numId="10" w16cid:durableId="2045593739">
    <w:abstractNumId w:val="5"/>
  </w:num>
  <w:num w:numId="11" w16cid:durableId="2030179877">
    <w:abstractNumId w:val="21"/>
  </w:num>
  <w:num w:numId="12" w16cid:durableId="808983353">
    <w:abstractNumId w:val="15"/>
  </w:num>
  <w:num w:numId="13" w16cid:durableId="1540699642">
    <w:abstractNumId w:val="16"/>
  </w:num>
  <w:num w:numId="14" w16cid:durableId="1014500060">
    <w:abstractNumId w:val="14"/>
  </w:num>
  <w:num w:numId="15" w16cid:durableId="473067152">
    <w:abstractNumId w:val="17"/>
  </w:num>
  <w:num w:numId="16" w16cid:durableId="516389024">
    <w:abstractNumId w:val="18"/>
  </w:num>
  <w:num w:numId="17" w16cid:durableId="1666322767">
    <w:abstractNumId w:val="19"/>
  </w:num>
  <w:num w:numId="18" w16cid:durableId="1794514842">
    <w:abstractNumId w:val="4"/>
  </w:num>
  <w:num w:numId="19" w16cid:durableId="1643078212">
    <w:abstractNumId w:val="3"/>
  </w:num>
  <w:num w:numId="20" w16cid:durableId="682588562">
    <w:abstractNumId w:val="2"/>
  </w:num>
  <w:num w:numId="21" w16cid:durableId="1766802288">
    <w:abstractNumId w:val="1"/>
  </w:num>
  <w:num w:numId="22" w16cid:durableId="1246185949">
    <w:abstractNumId w:val="0"/>
  </w:num>
  <w:num w:numId="23" w16cid:durableId="627202103">
    <w:abstractNumId w:val="6"/>
  </w:num>
  <w:num w:numId="24" w16cid:durableId="151769468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17AB1"/>
    <w:rsid w:val="00022C51"/>
    <w:rsid w:val="00032A0C"/>
    <w:rsid w:val="00070D06"/>
    <w:rsid w:val="000B50CC"/>
    <w:rsid w:val="000C6A2D"/>
    <w:rsid w:val="000E54B5"/>
    <w:rsid w:val="0015409B"/>
    <w:rsid w:val="00195A06"/>
    <w:rsid w:val="00197AF9"/>
    <w:rsid w:val="001B429B"/>
    <w:rsid w:val="001D71D3"/>
    <w:rsid w:val="00205D0C"/>
    <w:rsid w:val="0027096C"/>
    <w:rsid w:val="002766CF"/>
    <w:rsid w:val="0028515F"/>
    <w:rsid w:val="002A5D13"/>
    <w:rsid w:val="002B029B"/>
    <w:rsid w:val="002B4419"/>
    <w:rsid w:val="002D45E4"/>
    <w:rsid w:val="002E4378"/>
    <w:rsid w:val="002F7B4F"/>
    <w:rsid w:val="003676E3"/>
    <w:rsid w:val="00380EF0"/>
    <w:rsid w:val="003A1644"/>
    <w:rsid w:val="003E3400"/>
    <w:rsid w:val="0042075B"/>
    <w:rsid w:val="00433F51"/>
    <w:rsid w:val="00434F15"/>
    <w:rsid w:val="004639C0"/>
    <w:rsid w:val="00475E98"/>
    <w:rsid w:val="004955F6"/>
    <w:rsid w:val="004A47F9"/>
    <w:rsid w:val="004C2396"/>
    <w:rsid w:val="004E6AAB"/>
    <w:rsid w:val="0050689E"/>
    <w:rsid w:val="00547B8D"/>
    <w:rsid w:val="00551B88"/>
    <w:rsid w:val="00587D31"/>
    <w:rsid w:val="005E1850"/>
    <w:rsid w:val="00614D0A"/>
    <w:rsid w:val="00653E72"/>
    <w:rsid w:val="00661981"/>
    <w:rsid w:val="006707EA"/>
    <w:rsid w:val="006A5CFE"/>
    <w:rsid w:val="006E18EF"/>
    <w:rsid w:val="00727BE0"/>
    <w:rsid w:val="0077330A"/>
    <w:rsid w:val="00782522"/>
    <w:rsid w:val="007A7CA7"/>
    <w:rsid w:val="007B0290"/>
    <w:rsid w:val="007C0AE5"/>
    <w:rsid w:val="007E1A2E"/>
    <w:rsid w:val="00825AFB"/>
    <w:rsid w:val="00826760"/>
    <w:rsid w:val="00841FA8"/>
    <w:rsid w:val="00852BFB"/>
    <w:rsid w:val="008633AC"/>
    <w:rsid w:val="00887070"/>
    <w:rsid w:val="008B1F83"/>
    <w:rsid w:val="008E62B1"/>
    <w:rsid w:val="008F5C4C"/>
    <w:rsid w:val="00937B0B"/>
    <w:rsid w:val="009433D9"/>
    <w:rsid w:val="00983536"/>
    <w:rsid w:val="009B721F"/>
    <w:rsid w:val="009C06A2"/>
    <w:rsid w:val="009D2836"/>
    <w:rsid w:val="00A06C64"/>
    <w:rsid w:val="00A56A28"/>
    <w:rsid w:val="00AC136E"/>
    <w:rsid w:val="00AE4D06"/>
    <w:rsid w:val="00B01FFE"/>
    <w:rsid w:val="00B707AF"/>
    <w:rsid w:val="00B87D52"/>
    <w:rsid w:val="00BC398F"/>
    <w:rsid w:val="00BD71E9"/>
    <w:rsid w:val="00C135D1"/>
    <w:rsid w:val="00C310AF"/>
    <w:rsid w:val="00C73E1A"/>
    <w:rsid w:val="00CA1A10"/>
    <w:rsid w:val="00CC38C8"/>
    <w:rsid w:val="00D10D40"/>
    <w:rsid w:val="00D242BF"/>
    <w:rsid w:val="00D86187"/>
    <w:rsid w:val="00DB32C7"/>
    <w:rsid w:val="00DD36A5"/>
    <w:rsid w:val="00DD54CC"/>
    <w:rsid w:val="00DE0AAA"/>
    <w:rsid w:val="00E163C6"/>
    <w:rsid w:val="00E17069"/>
    <w:rsid w:val="00E2265E"/>
    <w:rsid w:val="00E848D9"/>
    <w:rsid w:val="00EA5F7F"/>
    <w:rsid w:val="00EA7757"/>
    <w:rsid w:val="00ED3984"/>
    <w:rsid w:val="00F12F5E"/>
    <w:rsid w:val="00F20663"/>
    <w:rsid w:val="00F64056"/>
    <w:rsid w:val="00FA19D7"/>
    <w:rsid w:val="00FB3A5A"/>
    <w:rsid w:val="00FC278E"/>
    <w:rsid w:val="00FE3D5E"/>
    <w:rsid w:val="00FE73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23204D"/>
  <w15:chartTrackingRefBased/>
  <w15:docId w15:val="{96E791A6-8852-478C-84C8-2851535F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customStyle="1" w:styleId="Pa2">
    <w:name w:val="Pa2"/>
    <w:basedOn w:val="Standard"/>
    <w:next w:val="Standard"/>
    <w:uiPriority w:val="99"/>
    <w:rsid w:val="00D10D40"/>
    <w:pPr>
      <w:autoSpaceDE w:val="0"/>
      <w:autoSpaceDN w:val="0"/>
      <w:adjustRightInd w:val="0"/>
      <w:spacing w:after="0" w:line="181" w:lineRule="atLeast"/>
    </w:pPr>
    <w:rPr>
      <w:rFonts w:ascii="Montserrat SemiBold" w:hAnsi="Montserrat SemiBold"/>
      <w:sz w:val="24"/>
      <w:szCs w:val="24"/>
      <w:lang w:eastAsia="de-DE"/>
    </w:rPr>
  </w:style>
  <w:style w:type="character" w:customStyle="1" w:styleId="A10">
    <w:name w:val="A10"/>
    <w:uiPriority w:val="99"/>
    <w:rsid w:val="00D10D40"/>
    <w:rPr>
      <w:rFonts w:cs="Montserrat SemiBold"/>
      <w:b/>
      <w:bCs/>
      <w:color w:val="211D1E"/>
      <w:sz w:val="22"/>
      <w:szCs w:val="22"/>
    </w:rPr>
  </w:style>
  <w:style w:type="paragraph" w:customStyle="1" w:styleId="Pa15">
    <w:name w:val="Pa15"/>
    <w:basedOn w:val="Standard"/>
    <w:next w:val="Standard"/>
    <w:uiPriority w:val="99"/>
    <w:rsid w:val="00D10D40"/>
    <w:pPr>
      <w:autoSpaceDE w:val="0"/>
      <w:autoSpaceDN w:val="0"/>
      <w:adjustRightInd w:val="0"/>
      <w:spacing w:after="0" w:line="181" w:lineRule="atLeast"/>
    </w:pPr>
    <w:rPr>
      <w:rFonts w:ascii="Montserrat SemiBold" w:hAnsi="Montserrat SemiBold"/>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E372C6-78CF-47D5-8ED7-445AA5E1A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1203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2025-05-08T14:52:00Z</dcterms:created>
  <dcterms:modified xsi:type="dcterms:W3CDTF">2025-05-08T14:52:00Z</dcterms:modified>
</cp:coreProperties>
</file>