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7EEE58DC" w14:textId="11CAA92C" w:rsidR="00D10D40" w:rsidRPr="00CB7F11" w:rsidRDefault="006E18EF" w:rsidP="00CB7F11">
      <w:pPr>
        <w:tabs>
          <w:tab w:val="left" w:pos="2430"/>
        </w:tabs>
      </w:pPr>
      <w:r>
        <w:tab/>
      </w:r>
    </w:p>
    <w:p w14:paraId="2357CAB0" w14:textId="77777777" w:rsidR="00CB7F11" w:rsidRDefault="00CB7F11" w:rsidP="00CC6017">
      <w:pPr>
        <w:spacing w:before="120" w:after="120"/>
        <w:rPr>
          <w:rFonts w:ascii="Arial" w:hAnsi="Arial" w:cs="Arial"/>
          <w:bCs/>
          <w:color w:val="000000" w:themeColor="text1"/>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0"/>
      </w:tblGrid>
      <w:tr w:rsidR="00CB7F11" w:rsidRPr="00CB7F11" w14:paraId="01F7EA24" w14:textId="77777777" w:rsidTr="00CB7F11">
        <w:tblPrEx>
          <w:tblCellMar>
            <w:top w:w="0" w:type="dxa"/>
            <w:bottom w:w="0" w:type="dxa"/>
          </w:tblCellMar>
        </w:tblPrEx>
        <w:trPr>
          <w:trHeight w:val="279"/>
          <w:jc w:val="center"/>
        </w:trPr>
        <w:tc>
          <w:tcPr>
            <w:tcW w:w="10060" w:type="dxa"/>
            <w:shd w:val="clear" w:color="auto" w:fill="193965"/>
          </w:tcPr>
          <w:p w14:paraId="125FD841" w14:textId="77777777" w:rsidR="00CB7F11" w:rsidRPr="00CB7F11" w:rsidRDefault="00CB7F11" w:rsidP="00CB7F11">
            <w:pPr>
              <w:spacing w:before="120" w:after="120"/>
              <w:rPr>
                <w:rFonts w:ascii="Arial" w:hAnsi="Arial" w:cs="Arial"/>
                <w:b/>
                <w:color w:val="FFFFFF"/>
                <w:sz w:val="28"/>
                <w:szCs w:val="28"/>
              </w:rPr>
            </w:pPr>
            <w:r w:rsidRPr="00CB7F11">
              <w:rPr>
                <w:rFonts w:ascii="Arial" w:hAnsi="Arial" w:cs="Arial"/>
                <w:b/>
                <w:color w:val="FFFFFF"/>
                <w:sz w:val="28"/>
                <w:szCs w:val="28"/>
              </w:rPr>
              <w:t xml:space="preserve">Übersicht: Mögliche ehrenamtliche Aufgaben für ehemalige Kollegen </w:t>
            </w:r>
          </w:p>
        </w:tc>
      </w:tr>
      <w:tr w:rsidR="00CB7F11" w:rsidRPr="00CB7F11" w14:paraId="378E4F0D" w14:textId="77777777" w:rsidTr="00CB7F11">
        <w:tblPrEx>
          <w:tblCellMar>
            <w:top w:w="0" w:type="dxa"/>
            <w:bottom w:w="0" w:type="dxa"/>
          </w:tblCellMar>
        </w:tblPrEx>
        <w:trPr>
          <w:trHeight w:val="1337"/>
          <w:jc w:val="center"/>
        </w:trPr>
        <w:tc>
          <w:tcPr>
            <w:tcW w:w="10060" w:type="dxa"/>
          </w:tcPr>
          <w:p w14:paraId="4B935567" w14:textId="4EA78A4D"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Einarbeitung neuer Mitarbeiter </w:t>
            </w:r>
          </w:p>
          <w:p w14:paraId="6E403AE3" w14:textId="79021B6C"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aktive Wissensweitergabe durch z. B. kurze Fortbildungen und </w:t>
            </w:r>
            <w:proofErr w:type="spellStart"/>
            <w:r w:rsidRPr="00CB7F11">
              <w:rPr>
                <w:rFonts w:ascii="Arial" w:hAnsi="Arial" w:cs="Arial"/>
                <w:color w:val="000000" w:themeColor="text1"/>
                <w:sz w:val="24"/>
              </w:rPr>
              <w:t>trainings</w:t>
            </w:r>
            <w:proofErr w:type="spellEnd"/>
            <w:r w:rsidRPr="00CB7F11">
              <w:rPr>
                <w:rFonts w:ascii="Arial" w:hAnsi="Arial" w:cs="Arial"/>
                <w:color w:val="000000" w:themeColor="text1"/>
                <w:sz w:val="24"/>
              </w:rPr>
              <w:t xml:space="preserve"> on </w:t>
            </w:r>
            <w:proofErr w:type="spellStart"/>
            <w:r w:rsidRPr="00CB7F11">
              <w:rPr>
                <w:rFonts w:ascii="Arial" w:hAnsi="Arial" w:cs="Arial"/>
                <w:color w:val="000000" w:themeColor="text1"/>
                <w:sz w:val="24"/>
              </w:rPr>
              <w:t>the</w:t>
            </w:r>
            <w:proofErr w:type="spellEnd"/>
            <w:r w:rsidRPr="00CB7F11">
              <w:rPr>
                <w:rFonts w:ascii="Arial" w:hAnsi="Arial" w:cs="Arial"/>
                <w:color w:val="000000" w:themeColor="text1"/>
                <w:sz w:val="24"/>
              </w:rPr>
              <w:t xml:space="preserve"> </w:t>
            </w:r>
            <w:proofErr w:type="spellStart"/>
            <w:r w:rsidRPr="00CB7F11">
              <w:rPr>
                <w:rFonts w:ascii="Arial" w:hAnsi="Arial" w:cs="Arial"/>
                <w:color w:val="000000" w:themeColor="text1"/>
                <w:sz w:val="24"/>
              </w:rPr>
              <w:t>job</w:t>
            </w:r>
            <w:proofErr w:type="spellEnd"/>
            <w:r w:rsidRPr="00CB7F11">
              <w:rPr>
                <w:rFonts w:ascii="Arial" w:hAnsi="Arial" w:cs="Arial"/>
                <w:color w:val="000000" w:themeColor="text1"/>
                <w:sz w:val="24"/>
              </w:rPr>
              <w:t xml:space="preserve"> </w:t>
            </w:r>
          </w:p>
          <w:p w14:paraId="31201AF0" w14:textId="7EF7640D"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Pflegekunden versorgen (z. B. 1-mal in der Woche 3 zu Pflegende nach Wunsch – auch das entlastet die Stamm-Mitarbeiter enorm) </w:t>
            </w:r>
          </w:p>
          <w:p w14:paraId="37B6486C" w14:textId="19A15827"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Medikamente richten </w:t>
            </w:r>
          </w:p>
          <w:p w14:paraId="67052BE7" w14:textId="1A7CFC56"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Risikomanagement umsetzen </w:t>
            </w:r>
          </w:p>
          <w:p w14:paraId="4C72207F" w14:textId="56FF71D7"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neue gesetzliche Vorgaben für den Bereich herunterbrechen und den Kollegen vermitteln, was das bedeutet und was sie nun zu tun haben </w:t>
            </w:r>
          </w:p>
          <w:p w14:paraId="51559156" w14:textId="61B95D10"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jahreszeitliche Dekorationen und individuelle Gestaltungen von z. B. Zimmern übernehmen </w:t>
            </w:r>
          </w:p>
          <w:p w14:paraId="7CD5F7BF" w14:textId="2DE5D62E" w:rsidR="00CB7F11" w:rsidRPr="00CB7F11" w:rsidRDefault="00CB7F11" w:rsidP="00CB7F11">
            <w:pPr>
              <w:pStyle w:val="Listenabsatz"/>
              <w:numPr>
                <w:ilvl w:val="0"/>
                <w:numId w:val="23"/>
              </w:numPr>
              <w:spacing w:before="120" w:after="120" w:line="276" w:lineRule="auto"/>
              <w:ind w:left="447"/>
              <w:rPr>
                <w:rFonts w:ascii="Arial" w:hAnsi="Arial" w:cs="Arial"/>
                <w:color w:val="000000" w:themeColor="text1"/>
                <w:sz w:val="24"/>
              </w:rPr>
            </w:pPr>
            <w:r w:rsidRPr="00CB7F11">
              <w:rPr>
                <w:rFonts w:ascii="Arial" w:hAnsi="Arial" w:cs="Arial"/>
                <w:color w:val="000000" w:themeColor="text1"/>
                <w:sz w:val="24"/>
              </w:rPr>
              <w:t xml:space="preserve">Lagerordnung </w:t>
            </w:r>
          </w:p>
        </w:tc>
      </w:tr>
      <w:tr w:rsidR="00CB7F11" w:rsidRPr="00CB7F11" w14:paraId="40CB5524" w14:textId="77777777" w:rsidTr="00CB7F11">
        <w:tblPrEx>
          <w:tblCellMar>
            <w:top w:w="0" w:type="dxa"/>
            <w:bottom w:w="0" w:type="dxa"/>
          </w:tblCellMar>
        </w:tblPrEx>
        <w:trPr>
          <w:trHeight w:val="139"/>
          <w:jc w:val="center"/>
        </w:trPr>
        <w:tc>
          <w:tcPr>
            <w:tcW w:w="10060" w:type="dxa"/>
            <w:shd w:val="clear" w:color="auto" w:fill="C7E3AB"/>
          </w:tcPr>
          <w:p w14:paraId="697B7884" w14:textId="77777777" w:rsidR="00CB7F11" w:rsidRPr="00CB7F11" w:rsidRDefault="00CB7F11" w:rsidP="00CB7F11">
            <w:pPr>
              <w:spacing w:before="120" w:after="120"/>
              <w:rPr>
                <w:rFonts w:ascii="Arial" w:hAnsi="Arial" w:cs="Arial"/>
                <w:b/>
                <w:color w:val="000000" w:themeColor="text1"/>
                <w:sz w:val="24"/>
                <w:szCs w:val="24"/>
              </w:rPr>
            </w:pPr>
            <w:r w:rsidRPr="00CB7F11">
              <w:rPr>
                <w:rFonts w:ascii="Arial" w:hAnsi="Arial" w:cs="Arial"/>
                <w:b/>
                <w:color w:val="000000" w:themeColor="text1"/>
                <w:sz w:val="24"/>
                <w:szCs w:val="24"/>
              </w:rPr>
              <w:t xml:space="preserve">Ergänzen Sie hier bitte Ihre Ideen: </w:t>
            </w:r>
          </w:p>
        </w:tc>
      </w:tr>
      <w:tr w:rsidR="00CB7F11" w:rsidRPr="00CB7F11" w14:paraId="396B4E93" w14:textId="77777777" w:rsidTr="00CB7F11">
        <w:tblPrEx>
          <w:tblCellMar>
            <w:top w:w="0" w:type="dxa"/>
            <w:bottom w:w="0" w:type="dxa"/>
          </w:tblCellMar>
        </w:tblPrEx>
        <w:trPr>
          <w:trHeight w:val="1128"/>
          <w:jc w:val="center"/>
        </w:trPr>
        <w:tc>
          <w:tcPr>
            <w:tcW w:w="10060" w:type="dxa"/>
          </w:tcPr>
          <w:p w14:paraId="538E2337" w14:textId="77777777" w:rsidR="00CB7F11" w:rsidRPr="00CB7F11" w:rsidRDefault="00CB7F11" w:rsidP="00CB7F11">
            <w:pPr>
              <w:spacing w:before="120" w:after="120"/>
              <w:rPr>
                <w:rFonts w:ascii="Arial" w:hAnsi="Arial" w:cs="Arial"/>
                <w:bCs/>
                <w:color w:val="000000" w:themeColor="text1"/>
                <w:sz w:val="24"/>
                <w:szCs w:val="24"/>
              </w:rPr>
            </w:pPr>
            <w:r w:rsidRPr="00CB7F11">
              <w:rPr>
                <w:rFonts w:ascii="Arial" w:hAnsi="Arial" w:cs="Arial"/>
                <w:bCs/>
                <w:color w:val="000000" w:themeColor="text1"/>
                <w:sz w:val="24"/>
                <w:szCs w:val="24"/>
              </w:rPr>
              <w:t>Gut zu wissen: Vielleicht fragen Sie sich, warum die ehemaligen Mitarbeiter solche Aufgaben ehrenamtlich übernehmen sollten? Neben den im Artikel skizzierten Vor</w:t>
            </w:r>
            <w:r w:rsidRPr="00CB7F11">
              <w:rPr>
                <w:rFonts w:ascii="Arial" w:hAnsi="Arial" w:cs="Arial"/>
                <w:bCs/>
                <w:color w:val="000000" w:themeColor="text1"/>
                <w:sz w:val="24"/>
                <w:szCs w:val="24"/>
              </w:rPr>
              <w:softHyphen/>
              <w:t xml:space="preserve">teilen ist ein großer Vorteil, dass man als Rentner/Ehrenamtlicher endlich nicht mehr „muss“, sondern „kann“. </w:t>
            </w:r>
          </w:p>
          <w:p w14:paraId="0EE9C65B" w14:textId="77777777" w:rsidR="00CB7F11" w:rsidRPr="00CB7F11" w:rsidRDefault="00CB7F11" w:rsidP="00CB7F11">
            <w:pPr>
              <w:spacing w:before="120" w:after="120"/>
              <w:rPr>
                <w:rFonts w:ascii="Arial" w:hAnsi="Arial" w:cs="Arial"/>
                <w:bCs/>
                <w:color w:val="000000" w:themeColor="text1"/>
                <w:sz w:val="24"/>
                <w:szCs w:val="24"/>
              </w:rPr>
            </w:pPr>
            <w:r w:rsidRPr="00CB7F11">
              <w:rPr>
                <w:rFonts w:ascii="Arial" w:hAnsi="Arial" w:cs="Arial"/>
                <w:bCs/>
                <w:color w:val="000000" w:themeColor="text1"/>
                <w:sz w:val="24"/>
                <w:szCs w:val="24"/>
              </w:rPr>
              <w:t>Das macht in der innerlichen Einstellung einen riesigen Unterschied. Stellen Sie sich nur einmal vor, sie hätten gestern 10 Millionen € im Lotto gewonnen und müssten nicht mehr arbeiten. Sie würden aber gerne ab und an in Ihrem Betrieb helfen (quasi als Hobby) und sich nur noch auf die Dinge konzentrieren, die Sie wirklich wollen. Das könnten Sie sich nun aussuchen – wie schön wäre das! Und genau diese Gedanken können Rentner umtreiben, hier kann man ansetzen.</w:t>
            </w:r>
          </w:p>
        </w:tc>
      </w:tr>
    </w:tbl>
    <w:p w14:paraId="10B0B5D0" w14:textId="77777777" w:rsidR="00CB7F11" w:rsidRPr="00CC6017" w:rsidRDefault="00CB7F11" w:rsidP="00CB7F11">
      <w:pPr>
        <w:spacing w:before="120" w:after="120"/>
        <w:rPr>
          <w:rFonts w:ascii="Arial" w:hAnsi="Arial" w:cs="Arial"/>
          <w:bCs/>
          <w:color w:val="000000" w:themeColor="text1"/>
          <w:sz w:val="24"/>
          <w:szCs w:val="24"/>
        </w:rPr>
      </w:pPr>
    </w:p>
    <w:sectPr w:rsidR="00CB7F11" w:rsidRPr="00CC6017" w:rsidSect="009C06A2">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39A43842" w:rsidR="007A7CA7" w:rsidRPr="007A7CA7" w:rsidRDefault="00D242BF" w:rsidP="005E1850">
          <w:pPr>
            <w:pStyle w:val="Kopfzeile"/>
            <w:jc w:val="center"/>
            <w:rPr>
              <w:b/>
              <w:color w:val="FFFFFF"/>
            </w:rPr>
          </w:pPr>
          <w:r>
            <w:rPr>
              <w:b/>
              <w:color w:val="FFFFFF"/>
              <w:sz w:val="24"/>
            </w:rPr>
            <w:t xml:space="preserve">Ausgabe </w:t>
          </w:r>
          <w:r w:rsidR="00CC6017">
            <w:rPr>
              <w:b/>
              <w:color w:val="FFFFFF"/>
              <w:sz w:val="24"/>
            </w:rPr>
            <w:t>12</w:t>
          </w:r>
          <w:r w:rsidR="00826760">
            <w:rPr>
              <w:b/>
              <w:color w:val="FFFFFF"/>
              <w:sz w:val="24"/>
            </w:rPr>
            <w:t xml:space="preserve"> - 20</w:t>
          </w:r>
          <w:r w:rsidR="00017AB1">
            <w:rPr>
              <w:b/>
              <w:color w:val="FFFFFF"/>
              <w:sz w:val="24"/>
            </w:rPr>
            <w:t>2</w:t>
          </w:r>
          <w:r w:rsidR="00825AFB">
            <w:rPr>
              <w:b/>
              <w:color w:val="FFFFFF"/>
              <w:sz w:val="24"/>
            </w:rPr>
            <w:t>5</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6C23FD5"/>
    <w:multiLevelType w:val="hybridMultilevel"/>
    <w:tmpl w:val="346EC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9"/>
  </w:num>
  <w:num w:numId="2" w16cid:durableId="110518625">
    <w:abstractNumId w:val="19"/>
  </w:num>
  <w:num w:numId="3" w16cid:durableId="1023476870">
    <w:abstractNumId w:val="22"/>
  </w:num>
  <w:num w:numId="4" w16cid:durableId="1632981953">
    <w:abstractNumId w:val="10"/>
  </w:num>
  <w:num w:numId="5" w16cid:durableId="334385539">
    <w:abstractNumId w:val="6"/>
  </w:num>
  <w:num w:numId="6" w16cid:durableId="292560944">
    <w:abstractNumId w:val="7"/>
  </w:num>
  <w:num w:numId="7" w16cid:durableId="617414864">
    <w:abstractNumId w:val="12"/>
  </w:num>
  <w:num w:numId="8" w16cid:durableId="1349798627">
    <w:abstractNumId w:val="11"/>
  </w:num>
  <w:num w:numId="9" w16cid:durableId="425809380">
    <w:abstractNumId w:val="8"/>
  </w:num>
  <w:num w:numId="10" w16cid:durableId="2045593739">
    <w:abstractNumId w:val="5"/>
  </w:num>
  <w:num w:numId="11" w16cid:durableId="2030179877">
    <w:abstractNumId w:val="20"/>
  </w:num>
  <w:num w:numId="12" w16cid:durableId="808983353">
    <w:abstractNumId w:val="14"/>
  </w:num>
  <w:num w:numId="13" w16cid:durableId="1540699642">
    <w:abstractNumId w:val="15"/>
  </w:num>
  <w:num w:numId="14" w16cid:durableId="1014500060">
    <w:abstractNumId w:val="13"/>
  </w:num>
  <w:num w:numId="15" w16cid:durableId="473067152">
    <w:abstractNumId w:val="16"/>
  </w:num>
  <w:num w:numId="16" w16cid:durableId="516389024">
    <w:abstractNumId w:val="17"/>
  </w:num>
  <w:num w:numId="17" w16cid:durableId="1666322767">
    <w:abstractNumId w:val="18"/>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7129989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06CEF"/>
    <w:rsid w:val="0015409B"/>
    <w:rsid w:val="00197AF9"/>
    <w:rsid w:val="001B429B"/>
    <w:rsid w:val="001D71D3"/>
    <w:rsid w:val="00205D0C"/>
    <w:rsid w:val="0027096C"/>
    <w:rsid w:val="002766CF"/>
    <w:rsid w:val="0028515F"/>
    <w:rsid w:val="00287413"/>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5AFB"/>
    <w:rsid w:val="00826760"/>
    <w:rsid w:val="00841FA8"/>
    <w:rsid w:val="00852BFB"/>
    <w:rsid w:val="008633AC"/>
    <w:rsid w:val="00887070"/>
    <w:rsid w:val="008B1F83"/>
    <w:rsid w:val="008E62B1"/>
    <w:rsid w:val="008F5C4C"/>
    <w:rsid w:val="00937B0B"/>
    <w:rsid w:val="009433D9"/>
    <w:rsid w:val="00983536"/>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B7F11"/>
    <w:rsid w:val="00CC38C8"/>
    <w:rsid w:val="00CC6017"/>
    <w:rsid w:val="00D10D40"/>
    <w:rsid w:val="00D242BF"/>
    <w:rsid w:val="00D86187"/>
    <w:rsid w:val="00DB32C7"/>
    <w:rsid w:val="00DD54CC"/>
    <w:rsid w:val="00E163C6"/>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1170</Characters>
  <Application>Microsoft Office Word</Application>
  <DocSecurity>0</DocSecurity>
  <Lines>117</Lines>
  <Paragraphs>106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2025-05-22T09:26:00Z</dcterms:created>
  <dcterms:modified xsi:type="dcterms:W3CDTF">2025-05-22T09:26:00Z</dcterms:modified>
</cp:coreProperties>
</file>