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27518B08" w:rsidR="00C53089" w:rsidRPr="00E475C4" w:rsidRDefault="0062518E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62518E"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Fallkonferenz zur Indikationsüberprüfung eines Patienten mit diabetischem Fußsyndrom </w:t>
            </w:r>
            <w:r w:rsidRPr="0062518E">
              <w:rPr>
                <w:rFonts w:ascii="Arial" w:hAnsi="Arial" w:cs="Arial"/>
                <w:b/>
                <w:color w:val="A39863"/>
                <w:sz w:val="32"/>
                <w:lang w:val="de-DE"/>
              </w:rPr>
              <w:br/>
              <w:t>(seit 01.01.2025 nicht mehr extrabudgetär!)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17F4F7A1" w14:textId="77777777" w:rsidR="00D00DA5" w:rsidRDefault="00D00DA5" w:rsidP="00ED2BFA">
      <w:pPr>
        <w:rPr>
          <w:rFonts w:ascii="Arial" w:hAnsi="Arial" w:cs="Arial"/>
        </w:rPr>
      </w:pPr>
    </w:p>
    <w:p w14:paraId="077CB04A" w14:textId="77777777" w:rsidR="0062518E" w:rsidRDefault="0062518E" w:rsidP="00ED2B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96"/>
        <w:gridCol w:w="7061"/>
        <w:gridCol w:w="1272"/>
      </w:tblGrid>
      <w:tr w:rsidR="0062518E" w:rsidRPr="0062518E" w14:paraId="6655D256" w14:textId="77777777" w:rsidTr="0062518E">
        <w:tc>
          <w:tcPr>
            <w:tcW w:w="1096" w:type="dxa"/>
            <w:shd w:val="clear" w:color="auto" w:fill="0098BB"/>
          </w:tcPr>
          <w:p w14:paraId="6BB7125A" w14:textId="77777777" w:rsidR="0062518E" w:rsidRPr="0062518E" w:rsidRDefault="0062518E" w:rsidP="006251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2518E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7061" w:type="dxa"/>
            <w:shd w:val="clear" w:color="auto" w:fill="0098BB"/>
          </w:tcPr>
          <w:p w14:paraId="6947EEFE" w14:textId="77777777" w:rsidR="0062518E" w:rsidRPr="0062518E" w:rsidRDefault="0062518E" w:rsidP="006251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2518E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272" w:type="dxa"/>
            <w:shd w:val="clear" w:color="auto" w:fill="0098BB"/>
          </w:tcPr>
          <w:p w14:paraId="07A8807C" w14:textId="77777777" w:rsidR="0062518E" w:rsidRPr="0062518E" w:rsidRDefault="0062518E" w:rsidP="006251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2518E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62518E" w:rsidRPr="0062518E" w14:paraId="4BE81035" w14:textId="77777777" w:rsidTr="0062518E">
        <w:tc>
          <w:tcPr>
            <w:tcW w:w="1096" w:type="dxa"/>
            <w:shd w:val="clear" w:color="auto" w:fill="auto"/>
          </w:tcPr>
          <w:p w14:paraId="05731D6A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30210</w:t>
            </w:r>
          </w:p>
        </w:tc>
        <w:tc>
          <w:tcPr>
            <w:tcW w:w="7061" w:type="dxa"/>
            <w:shd w:val="clear" w:color="auto" w:fill="auto"/>
          </w:tcPr>
          <w:p w14:paraId="2C3C1BC3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 xml:space="preserve">Teilnahme an einer multidisziplinären Fallkonferenz zur Indikationsüberprüfung eines Patienten mit diabetischem Fußsyndrom vor Überweisung an ein Druckkammerzentrum </w:t>
            </w:r>
          </w:p>
          <w:p w14:paraId="1901E0C8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1 × im Krankheitsfall (KHF) abrechenbar</w:t>
            </w:r>
          </w:p>
          <w:p w14:paraId="7819236E" w14:textId="77777777" w:rsidR="0062518E" w:rsidRPr="0062518E" w:rsidRDefault="0062518E" w:rsidP="006251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518E">
              <w:rPr>
                <w:rFonts w:ascii="Arial" w:hAnsi="Arial" w:cs="Arial"/>
                <w:b/>
                <w:bCs/>
                <w:color w:val="000000"/>
              </w:rPr>
              <w:t xml:space="preserve">Ausnahme: </w:t>
            </w:r>
          </w:p>
          <w:p w14:paraId="77713DCD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 xml:space="preserve">Eine zweifache Berechnung der EBM-Ziffer 30210 im KHF ist mit schriftlicher Begründung bei Vorliegen (einer) zum Zeitpunkt der Erstberechnung nicht behandlungsrelevanter/-relevanten Wunde(n) zulässig. </w:t>
            </w:r>
          </w:p>
          <w:p w14:paraId="4E5CD1A4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Die zweifache Berechnung der EBM-Ziffer 30210 im KHF für dieselbe(n) Wunde(n) ist mit ausführlicher Begründung der medizinischen Notwendigkeit im Einzelfall zulässig.</w:t>
            </w:r>
          </w:p>
          <w:p w14:paraId="59E35745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Obligater Leistungsinhalt</w:t>
            </w:r>
          </w:p>
          <w:p w14:paraId="0197D1FB" w14:textId="1BFFBF60" w:rsidR="0062518E" w:rsidRPr="0062518E" w:rsidRDefault="0062518E" w:rsidP="0062518E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Teilnahme an einer multidisziplinären Fallkonferenz</w:t>
            </w:r>
          </w:p>
          <w:p w14:paraId="385F2A7A" w14:textId="4A18B46C" w:rsidR="0062518E" w:rsidRPr="0062518E" w:rsidRDefault="0062518E" w:rsidP="0062518E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Abwägung und Feststellung oder Ausschluss des Bestehens von Therapiealternativen (insbesondere Evaluation der Möglichkeit einer gefäßchirurgischen oder interventionell-radiologischen Gefäßintervention/-rekonstruktion, leitliniengerechte Wundversorgung von mindestens 4–5 Wochen, alternative adjuvante Verfahren)</w:t>
            </w:r>
          </w:p>
          <w:p w14:paraId="35ED6F2D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Wichtig: Teilnehmer können zur Fallkonferenz auch telefonisch zugeschaltet werden, sofern allen die erforderlichen Dokumentationen vorliegen.</w:t>
            </w:r>
          </w:p>
        </w:tc>
        <w:tc>
          <w:tcPr>
            <w:tcW w:w="1272" w:type="dxa"/>
            <w:shd w:val="clear" w:color="auto" w:fill="auto"/>
          </w:tcPr>
          <w:p w14:paraId="70CEE304" w14:textId="77777777" w:rsidR="0062518E" w:rsidRPr="0062518E" w:rsidRDefault="0062518E" w:rsidP="0062518E">
            <w:pPr>
              <w:rPr>
                <w:rFonts w:ascii="Arial" w:hAnsi="Arial" w:cs="Arial"/>
                <w:color w:val="000000"/>
              </w:rPr>
            </w:pPr>
            <w:r w:rsidRPr="0062518E">
              <w:rPr>
                <w:rFonts w:ascii="Arial" w:hAnsi="Arial" w:cs="Arial"/>
                <w:color w:val="000000"/>
              </w:rPr>
              <w:t>10,66</w:t>
            </w:r>
          </w:p>
        </w:tc>
      </w:tr>
    </w:tbl>
    <w:p w14:paraId="39F2E8B3" w14:textId="77777777" w:rsidR="0062518E" w:rsidRPr="00ED2BFA" w:rsidRDefault="0062518E" w:rsidP="00ED2BFA">
      <w:pPr>
        <w:rPr>
          <w:rFonts w:ascii="Arial" w:hAnsi="Arial" w:cs="Arial"/>
        </w:rPr>
      </w:pPr>
    </w:p>
    <w:sectPr w:rsidR="0062518E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1114</Characters>
  <Application>Microsoft Office Word</Application>
  <DocSecurity>0</DocSecurity>
  <Lines>111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2025-05-22T11:54:00Z</dcterms:created>
  <dcterms:modified xsi:type="dcterms:W3CDTF">2025-05-22T11:54:00Z</dcterms:modified>
</cp:coreProperties>
</file>