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4A24" w14:textId="2B1E9FD5" w:rsidR="007A1176" w:rsidRPr="00AD0F44" w:rsidRDefault="009C06A2" w:rsidP="00AD0F44">
      <w:pPr>
        <w:tabs>
          <w:tab w:val="left" w:pos="5280"/>
        </w:tabs>
        <w:rPr>
          <w:b/>
          <w:noProof/>
          <w:lang w:eastAsia="de-DE"/>
        </w:rPr>
      </w:pPr>
      <w:r>
        <w:rPr>
          <w:b/>
          <w:noProof/>
          <w:lang w:eastAsia="de-DE"/>
        </w:rPr>
        <w:t xml:space="preserve"> </w:t>
      </w:r>
      <w:r w:rsidR="007A7CA7">
        <w:rPr>
          <w:b/>
          <w:noProof/>
          <w:lang w:eastAsia="de-DE"/>
        </w:rPr>
        <w:tab/>
      </w:r>
    </w:p>
    <w:p w14:paraId="4488D987" w14:textId="77777777" w:rsidR="0060410A" w:rsidRDefault="0060410A" w:rsidP="00A81F33">
      <w:pPr>
        <w:spacing w:before="120" w:after="120"/>
        <w:rPr>
          <w:rFonts w:ascii="Arial" w:hAnsi="Arial" w:cs="Arial"/>
          <w:color w:val="000000" w:themeColor="text1"/>
          <w:sz w:val="24"/>
        </w:rPr>
      </w:pPr>
    </w:p>
    <w:p w14:paraId="4C0B0D9F" w14:textId="77777777" w:rsidR="00977952" w:rsidRDefault="00977952" w:rsidP="00A81F33">
      <w:pPr>
        <w:spacing w:before="120" w:after="120"/>
        <w:rPr>
          <w:rFonts w:ascii="Arial" w:hAnsi="Arial" w:cs="Arial"/>
          <w:color w:val="000000" w:themeColor="text1"/>
          <w:sz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977952" w:rsidRPr="00977952" w14:paraId="44F5AE71" w14:textId="77777777" w:rsidTr="00977952">
        <w:tblPrEx>
          <w:tblCellMar>
            <w:top w:w="0" w:type="dxa"/>
            <w:bottom w:w="0" w:type="dxa"/>
          </w:tblCellMar>
        </w:tblPrEx>
        <w:trPr>
          <w:trHeight w:val="146"/>
          <w:jc w:val="center"/>
        </w:trPr>
        <w:tc>
          <w:tcPr>
            <w:tcW w:w="10201" w:type="dxa"/>
            <w:shd w:val="clear" w:color="auto" w:fill="193965"/>
          </w:tcPr>
          <w:p w14:paraId="31D1494C" w14:textId="77777777" w:rsidR="00977952" w:rsidRPr="00977952" w:rsidRDefault="00977952" w:rsidP="00977952">
            <w:pPr>
              <w:spacing w:before="120" w:after="120"/>
              <w:rPr>
                <w:rFonts w:ascii="Arial" w:hAnsi="Arial" w:cs="Arial"/>
                <w:b/>
                <w:color w:val="FFFFFF"/>
                <w:sz w:val="28"/>
                <w:szCs w:val="28"/>
              </w:rPr>
            </w:pPr>
            <w:r w:rsidRPr="00977952">
              <w:rPr>
                <w:rFonts w:ascii="Arial" w:hAnsi="Arial" w:cs="Arial"/>
                <w:b/>
                <w:color w:val="FFFFFF"/>
                <w:sz w:val="28"/>
                <w:szCs w:val="28"/>
              </w:rPr>
              <w:t xml:space="preserve">Muster-Formular: Einleitung Einarbeitungskonzept </w:t>
            </w:r>
          </w:p>
        </w:tc>
      </w:tr>
      <w:tr w:rsidR="00977952" w:rsidRPr="00977952" w14:paraId="4CEA62AF" w14:textId="77777777" w:rsidTr="00977952">
        <w:tblPrEx>
          <w:tblCellMar>
            <w:top w:w="0" w:type="dxa"/>
            <w:bottom w:w="0" w:type="dxa"/>
          </w:tblCellMar>
        </w:tblPrEx>
        <w:trPr>
          <w:trHeight w:val="3493"/>
          <w:jc w:val="center"/>
        </w:trPr>
        <w:tc>
          <w:tcPr>
            <w:tcW w:w="10201" w:type="dxa"/>
          </w:tcPr>
          <w:p w14:paraId="203209FB" w14:textId="77777777" w:rsidR="00977952" w:rsidRPr="00977952" w:rsidRDefault="00977952" w:rsidP="00977952">
            <w:pPr>
              <w:spacing w:before="120" w:after="120"/>
              <w:rPr>
                <w:rFonts w:ascii="Arial" w:hAnsi="Arial" w:cs="Arial"/>
                <w:color w:val="000000" w:themeColor="text1"/>
                <w:sz w:val="24"/>
              </w:rPr>
            </w:pPr>
            <w:r w:rsidRPr="00977952">
              <w:rPr>
                <w:rFonts w:ascii="Arial" w:hAnsi="Arial" w:cs="Arial"/>
                <w:color w:val="000000" w:themeColor="text1"/>
                <w:sz w:val="24"/>
              </w:rPr>
              <w:t>Ziel unseres Konzeptes ist es, den neuen Mitarbeiter in das Team einzubinden und ihn zu befähigen, im Rahmen seiner Quali</w:t>
            </w:r>
            <w:r w:rsidRPr="00977952">
              <w:rPr>
                <w:rFonts w:ascii="Arial" w:hAnsi="Arial" w:cs="Arial"/>
                <w:color w:val="000000" w:themeColor="text1"/>
                <w:sz w:val="24"/>
              </w:rPr>
              <w:softHyphen/>
              <w:t xml:space="preserve">fikation eigenverantwortlich und selbstständig zu arbeiten. Eine offene Kommunikation fördert den Informationsaustausch, schafft Vertrauen und steigert die Motivation und das Engagement aller Teammitglieder. Wir stellen dem neuen Mitarbeiter für die Zeit der Einarbeitung einen Kollegen als Bezugsperson (Mentor) zur Verfügung. </w:t>
            </w:r>
          </w:p>
          <w:p w14:paraId="3AB5AF5C" w14:textId="77777777" w:rsidR="00977952" w:rsidRPr="00977952" w:rsidRDefault="00977952" w:rsidP="00977952">
            <w:pPr>
              <w:spacing w:before="120" w:after="120"/>
              <w:rPr>
                <w:rFonts w:ascii="Arial" w:hAnsi="Arial" w:cs="Arial"/>
                <w:color w:val="000000" w:themeColor="text1"/>
                <w:sz w:val="24"/>
              </w:rPr>
            </w:pPr>
            <w:r w:rsidRPr="00977952">
              <w:rPr>
                <w:rFonts w:ascii="Arial" w:hAnsi="Arial" w:cs="Arial"/>
                <w:color w:val="000000" w:themeColor="text1"/>
                <w:sz w:val="24"/>
              </w:rPr>
              <w:t xml:space="preserve">Die Aufgaben des Mentors: </w:t>
            </w:r>
          </w:p>
          <w:p w14:paraId="671539B5" w14:textId="662882D2"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Koordination des Einarbeitungsprozesses </w:t>
            </w:r>
          </w:p>
          <w:p w14:paraId="3453B410" w14:textId="02A81042"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direkte Einarbeitung unter Hinzuziehung des Einarbeitungskonzeptes </w:t>
            </w:r>
          </w:p>
          <w:p w14:paraId="60EB0C3C" w14:textId="1B8752D7"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Ansprechpartner für den neuen Mitarbeiter </w:t>
            </w:r>
          </w:p>
          <w:p w14:paraId="3441435F" w14:textId="77777777" w:rsidR="00977952" w:rsidRPr="00977952" w:rsidRDefault="00977952" w:rsidP="00977952">
            <w:pPr>
              <w:spacing w:before="120" w:after="120"/>
              <w:rPr>
                <w:rFonts w:ascii="Arial" w:hAnsi="Arial" w:cs="Arial"/>
                <w:color w:val="000000" w:themeColor="text1"/>
                <w:sz w:val="24"/>
              </w:rPr>
            </w:pPr>
            <w:r w:rsidRPr="00977952">
              <w:rPr>
                <w:rFonts w:ascii="Arial" w:hAnsi="Arial" w:cs="Arial"/>
                <w:color w:val="000000" w:themeColor="text1"/>
                <w:sz w:val="24"/>
              </w:rPr>
              <w:t xml:space="preserve">Die Einarbeitungszeit wird an den Fähigkeiten des Mitarbeiters gemessen, sollte jedoch nicht länger als 6 Wochen dauern. </w:t>
            </w:r>
          </w:p>
          <w:p w14:paraId="46C26ABA" w14:textId="77777777" w:rsidR="00977952" w:rsidRPr="00977952" w:rsidRDefault="00977952" w:rsidP="00977952">
            <w:pPr>
              <w:spacing w:before="120" w:after="120"/>
              <w:rPr>
                <w:rFonts w:ascii="Arial" w:hAnsi="Arial" w:cs="Arial"/>
                <w:color w:val="000000" w:themeColor="text1"/>
                <w:sz w:val="24"/>
              </w:rPr>
            </w:pPr>
            <w:r w:rsidRPr="00977952">
              <w:rPr>
                <w:rFonts w:ascii="Arial" w:hAnsi="Arial" w:cs="Arial"/>
                <w:color w:val="000000" w:themeColor="text1"/>
                <w:sz w:val="24"/>
              </w:rPr>
              <w:t>Während der Einarbeitungszeit werden dem neuen Mitarbeiter wichtige Informationen über Struktur-, Prozess- und Ergebnis</w:t>
            </w:r>
            <w:r w:rsidRPr="00977952">
              <w:rPr>
                <w:rFonts w:ascii="Arial" w:hAnsi="Arial" w:cs="Arial"/>
                <w:color w:val="000000" w:themeColor="text1"/>
                <w:sz w:val="24"/>
              </w:rPr>
              <w:softHyphen/>
              <w:t>qualität in unserem ambulanten Dienst vermittelt. Außerdem werden die Unternehmensphilosophie und die Organisationsab</w:t>
            </w:r>
            <w:r w:rsidRPr="00977952">
              <w:rPr>
                <w:rFonts w:ascii="Arial" w:hAnsi="Arial" w:cs="Arial"/>
                <w:color w:val="000000" w:themeColor="text1"/>
                <w:sz w:val="24"/>
              </w:rPr>
              <w:softHyphen/>
              <w:t xml:space="preserve">läufe erklärt sowie eine Einweisung in die einzelnen Arbeitsabläufe der individuellen Versorgungen durchgeführt. </w:t>
            </w:r>
          </w:p>
          <w:p w14:paraId="2B854BE5" w14:textId="77777777" w:rsidR="00977952" w:rsidRPr="00977952" w:rsidRDefault="00977952" w:rsidP="00977952">
            <w:pPr>
              <w:spacing w:before="120" w:after="120"/>
              <w:rPr>
                <w:rFonts w:ascii="Arial" w:hAnsi="Arial" w:cs="Arial"/>
                <w:color w:val="000000" w:themeColor="text1"/>
                <w:sz w:val="24"/>
              </w:rPr>
            </w:pPr>
            <w:r w:rsidRPr="00977952">
              <w:rPr>
                <w:rFonts w:ascii="Arial" w:hAnsi="Arial" w:cs="Arial"/>
                <w:color w:val="000000" w:themeColor="text1"/>
                <w:sz w:val="24"/>
              </w:rPr>
              <w:t xml:space="preserve">In wöchentlichen Sitzungen im Leitungsteam werden Rückmeldungen zum Stand der Einarbeitungszeit des neuen Mitarbeiters besprochen. </w:t>
            </w:r>
          </w:p>
          <w:p w14:paraId="33BD605E" w14:textId="77777777" w:rsidR="00977952" w:rsidRPr="00977952" w:rsidRDefault="00977952" w:rsidP="00977952">
            <w:pPr>
              <w:spacing w:before="120" w:after="120"/>
              <w:rPr>
                <w:rFonts w:ascii="Arial" w:hAnsi="Arial" w:cs="Arial"/>
                <w:color w:val="000000" w:themeColor="text1"/>
                <w:sz w:val="24"/>
              </w:rPr>
            </w:pPr>
            <w:r w:rsidRPr="00977952">
              <w:rPr>
                <w:rFonts w:ascii="Arial" w:hAnsi="Arial" w:cs="Arial"/>
                <w:color w:val="000000" w:themeColor="text1"/>
                <w:sz w:val="24"/>
              </w:rPr>
              <w:t xml:space="preserve">Das bedeutet für uns: </w:t>
            </w:r>
          </w:p>
          <w:p w14:paraId="0326B744" w14:textId="6A3DF999"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Feststellung der Leistung und des Verhaltens des neuen Mitarbeiters </w:t>
            </w:r>
          </w:p>
          <w:p w14:paraId="7F515942" w14:textId="013BAF9C"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Stärken und Schwächen aufzeigen </w:t>
            </w:r>
          </w:p>
          <w:p w14:paraId="6EDA2399" w14:textId="0E96EF42"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Personaleinsatzplanung/Stellenbesetzung optimieren </w:t>
            </w:r>
          </w:p>
          <w:p w14:paraId="4194A7A2" w14:textId="425D189B"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gesundes Betriebsklima </w:t>
            </w:r>
          </w:p>
          <w:p w14:paraId="7EEFBFD9" w14:textId="602DABA0"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Fort- und Weiterbildungsbedarf erkennen </w:t>
            </w:r>
          </w:p>
          <w:p w14:paraId="6816CD1F" w14:textId="77777777" w:rsidR="00977952" w:rsidRPr="00977952" w:rsidRDefault="00977952" w:rsidP="00977952">
            <w:pPr>
              <w:spacing w:before="120" w:after="120"/>
              <w:rPr>
                <w:rFonts w:ascii="Arial" w:hAnsi="Arial" w:cs="Arial"/>
                <w:color w:val="000000" w:themeColor="text1"/>
                <w:sz w:val="24"/>
              </w:rPr>
            </w:pPr>
            <w:r w:rsidRPr="00977952">
              <w:rPr>
                <w:rFonts w:ascii="Arial" w:hAnsi="Arial" w:cs="Arial"/>
                <w:color w:val="000000" w:themeColor="text1"/>
                <w:sz w:val="24"/>
              </w:rPr>
              <w:t xml:space="preserve">Das bedeutet für Sie als neuen Mitarbeiter: </w:t>
            </w:r>
          </w:p>
          <w:p w14:paraId="4DC7FE05" w14:textId="1421DAFA"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Aufzeigen von Stärken und Schwächen </w:t>
            </w:r>
          </w:p>
          <w:p w14:paraId="0C68E4E7" w14:textId="393D6775"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Unterstützung/Hilfestellung bei der Überwindung von Schwächen </w:t>
            </w:r>
          </w:p>
          <w:p w14:paraId="2F2238A7" w14:textId="06DDA017" w:rsidR="00977952" w:rsidRPr="00977952" w:rsidRDefault="00977952" w:rsidP="00977952">
            <w:pPr>
              <w:pStyle w:val="Listenabsatz"/>
              <w:numPr>
                <w:ilvl w:val="0"/>
                <w:numId w:val="37"/>
              </w:numPr>
              <w:spacing w:before="120" w:after="120"/>
              <w:rPr>
                <w:rFonts w:ascii="Arial" w:hAnsi="Arial" w:cs="Arial"/>
                <w:color w:val="000000" w:themeColor="text1"/>
                <w:sz w:val="24"/>
              </w:rPr>
            </w:pPr>
            <w:r w:rsidRPr="00977952">
              <w:rPr>
                <w:rFonts w:ascii="Arial" w:hAnsi="Arial" w:cs="Arial"/>
                <w:color w:val="000000" w:themeColor="text1"/>
                <w:sz w:val="24"/>
              </w:rPr>
              <w:t xml:space="preserve">Steigerung des Verantwortungsbewusstseins </w:t>
            </w:r>
          </w:p>
          <w:p w14:paraId="214AC814" w14:textId="77777777" w:rsidR="00977952" w:rsidRPr="00977952" w:rsidRDefault="00977952" w:rsidP="00977952">
            <w:pPr>
              <w:spacing w:before="120" w:after="120"/>
              <w:rPr>
                <w:rFonts w:ascii="Arial" w:hAnsi="Arial" w:cs="Arial"/>
                <w:color w:val="000000" w:themeColor="text1"/>
                <w:sz w:val="24"/>
              </w:rPr>
            </w:pPr>
            <w:r w:rsidRPr="00977952">
              <w:rPr>
                <w:rFonts w:ascii="Arial" w:hAnsi="Arial" w:cs="Arial"/>
                <w:color w:val="000000" w:themeColor="text1"/>
                <w:sz w:val="24"/>
              </w:rPr>
              <w:t>Durch die Beurteilung erhält der neue Mitarbeiter eine zusätzliche Gelegenheit, sein Leistungsvermögen und die weiteren be</w:t>
            </w:r>
            <w:r w:rsidRPr="00977952">
              <w:rPr>
                <w:rFonts w:ascii="Arial" w:hAnsi="Arial" w:cs="Arial"/>
                <w:color w:val="000000" w:themeColor="text1"/>
                <w:sz w:val="24"/>
              </w:rPr>
              <w:softHyphen/>
              <w:t>ruflichen Chancen realistisch einzuschätzen. Er erkennt besser als bisher, worauf es ankommt. In den Mitarbeitergesprächen werden die weiteren Ziele festgelegt und nach den nächsten Zeitabschnitten überprüft. Das Gefühl für die eigene Verantwor</w:t>
            </w:r>
            <w:r w:rsidRPr="00977952">
              <w:rPr>
                <w:rFonts w:ascii="Arial" w:hAnsi="Arial" w:cs="Arial"/>
                <w:color w:val="000000" w:themeColor="text1"/>
                <w:sz w:val="24"/>
              </w:rPr>
              <w:softHyphen/>
              <w:t xml:space="preserve">tung wird gestärkt und damit eine weitere Grundlage für eigenständiges Planen und Gestalten der beruflichen Zukunft gelegt. </w:t>
            </w:r>
          </w:p>
        </w:tc>
      </w:tr>
    </w:tbl>
    <w:p w14:paraId="7CB24DDA" w14:textId="77777777" w:rsidR="00977952" w:rsidRPr="00A81F33" w:rsidRDefault="00977952" w:rsidP="00A81F33">
      <w:pPr>
        <w:spacing w:before="120" w:after="120"/>
        <w:rPr>
          <w:rFonts w:ascii="Arial" w:hAnsi="Arial" w:cs="Arial"/>
          <w:color w:val="000000" w:themeColor="text1"/>
          <w:sz w:val="24"/>
        </w:rPr>
      </w:pPr>
    </w:p>
    <w:sectPr w:rsidR="00977952" w:rsidRPr="00A81F33" w:rsidSect="00BD64D5">
      <w:headerReference w:type="default" r:id="rId9"/>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altName w:val="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710833E3" w:rsidR="007A7CA7" w:rsidRPr="007A7CA7" w:rsidRDefault="00D242BF" w:rsidP="005E1850">
          <w:pPr>
            <w:pStyle w:val="Kopfzeile"/>
            <w:jc w:val="center"/>
            <w:rPr>
              <w:b/>
              <w:color w:val="FFFFFF"/>
            </w:rPr>
          </w:pPr>
          <w:r>
            <w:rPr>
              <w:b/>
              <w:color w:val="FFFFFF"/>
              <w:sz w:val="24"/>
            </w:rPr>
            <w:t xml:space="preserve">Ausgabe </w:t>
          </w:r>
          <w:r w:rsidR="00F53FD8">
            <w:rPr>
              <w:b/>
              <w:color w:val="FFFFFF"/>
              <w:sz w:val="24"/>
            </w:rPr>
            <w:t>1</w:t>
          </w:r>
          <w:r w:rsidR="00B63A5B">
            <w:rPr>
              <w:b/>
              <w:color w:val="FFFFFF"/>
              <w:sz w:val="24"/>
            </w:rPr>
            <w:t>4</w:t>
          </w:r>
          <w:r w:rsidR="00826760">
            <w:rPr>
              <w:b/>
              <w:color w:val="FFFFFF"/>
              <w:sz w:val="24"/>
            </w:rPr>
            <w:t xml:space="preserve"> </w:t>
          </w:r>
          <w:r w:rsidR="007A1176">
            <w:rPr>
              <w:b/>
              <w:color w:val="FFFFFF"/>
              <w:sz w:val="24"/>
            </w:rPr>
            <w:t>–</w:t>
          </w:r>
          <w:r w:rsidR="00826760">
            <w:rPr>
              <w:b/>
              <w:color w:val="FFFFFF"/>
              <w:sz w:val="24"/>
            </w:rPr>
            <w:t xml:space="preserve"> 20</w:t>
          </w:r>
          <w:r w:rsidR="00017AB1">
            <w:rPr>
              <w:b/>
              <w:color w:val="FFFFFF"/>
              <w:sz w:val="24"/>
            </w:rPr>
            <w:t>2</w:t>
          </w:r>
          <w:r w:rsidR="00825AFB">
            <w:rPr>
              <w:b/>
              <w:color w:val="FFFFFF"/>
              <w:sz w:val="24"/>
            </w:rPr>
            <w:t>5</w:t>
          </w:r>
          <w:r w:rsidR="007A1176">
            <w:rPr>
              <w:b/>
              <w:color w:val="FFFFFF"/>
              <w:sz w:val="24"/>
            </w:rPr>
            <w:t xml:space="preserve"> TH</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D31CB6"/>
    <w:multiLevelType w:val="hybridMultilevel"/>
    <w:tmpl w:val="2C843246"/>
    <w:lvl w:ilvl="0" w:tplc="E4F8A6E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5E5869"/>
    <w:multiLevelType w:val="hybridMultilevel"/>
    <w:tmpl w:val="E73A1B52"/>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8A1301"/>
    <w:multiLevelType w:val="hybridMultilevel"/>
    <w:tmpl w:val="99BEA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35258A"/>
    <w:multiLevelType w:val="hybridMultilevel"/>
    <w:tmpl w:val="9BE08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D34551"/>
    <w:multiLevelType w:val="hybridMultilevel"/>
    <w:tmpl w:val="F99C91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EF13CB"/>
    <w:multiLevelType w:val="hybridMultilevel"/>
    <w:tmpl w:val="CAFA7CB6"/>
    <w:lvl w:ilvl="0" w:tplc="E4F8A6E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3853B6"/>
    <w:multiLevelType w:val="hybridMultilevel"/>
    <w:tmpl w:val="38C690F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BD1AA4"/>
    <w:multiLevelType w:val="hybridMultilevel"/>
    <w:tmpl w:val="754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14A6E"/>
    <w:multiLevelType w:val="hybridMultilevel"/>
    <w:tmpl w:val="29EA6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197064"/>
    <w:multiLevelType w:val="hybridMultilevel"/>
    <w:tmpl w:val="136A4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0D1F5A"/>
    <w:multiLevelType w:val="hybridMultilevel"/>
    <w:tmpl w:val="EFC4DF82"/>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F66B34"/>
    <w:multiLevelType w:val="hybridMultilevel"/>
    <w:tmpl w:val="E8246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81ED5"/>
    <w:multiLevelType w:val="hybridMultilevel"/>
    <w:tmpl w:val="FAA8A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486777"/>
    <w:multiLevelType w:val="hybridMultilevel"/>
    <w:tmpl w:val="B8B45A9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64202C"/>
    <w:multiLevelType w:val="hybridMultilevel"/>
    <w:tmpl w:val="F9AE2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7"/>
  </w:num>
  <w:num w:numId="2" w16cid:durableId="110518625">
    <w:abstractNumId w:val="31"/>
  </w:num>
  <w:num w:numId="3" w16cid:durableId="1023476870">
    <w:abstractNumId w:val="36"/>
  </w:num>
  <w:num w:numId="4" w16cid:durableId="1632981953">
    <w:abstractNumId w:val="20"/>
  </w:num>
  <w:num w:numId="5" w16cid:durableId="334385539">
    <w:abstractNumId w:val="9"/>
  </w:num>
  <w:num w:numId="6" w16cid:durableId="292560944">
    <w:abstractNumId w:val="13"/>
  </w:num>
  <w:num w:numId="7" w16cid:durableId="617414864">
    <w:abstractNumId w:val="24"/>
  </w:num>
  <w:num w:numId="8" w16cid:durableId="1349798627">
    <w:abstractNumId w:val="23"/>
  </w:num>
  <w:num w:numId="9" w16cid:durableId="425809380">
    <w:abstractNumId w:val="15"/>
  </w:num>
  <w:num w:numId="10" w16cid:durableId="2045593739">
    <w:abstractNumId w:val="5"/>
  </w:num>
  <w:num w:numId="11" w16cid:durableId="2030179877">
    <w:abstractNumId w:val="33"/>
  </w:num>
  <w:num w:numId="12" w16cid:durableId="808983353">
    <w:abstractNumId w:val="26"/>
  </w:num>
  <w:num w:numId="13" w16cid:durableId="1540699642">
    <w:abstractNumId w:val="27"/>
  </w:num>
  <w:num w:numId="14" w16cid:durableId="1014500060">
    <w:abstractNumId w:val="25"/>
  </w:num>
  <w:num w:numId="15" w16cid:durableId="473067152">
    <w:abstractNumId w:val="28"/>
  </w:num>
  <w:num w:numId="16" w16cid:durableId="516389024">
    <w:abstractNumId w:val="29"/>
  </w:num>
  <w:num w:numId="17" w16cid:durableId="1666322767">
    <w:abstractNumId w:val="30"/>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361832688">
    <w:abstractNumId w:val="22"/>
  </w:num>
  <w:num w:numId="24" w16cid:durableId="795442597">
    <w:abstractNumId w:val="35"/>
  </w:num>
  <w:num w:numId="25" w16cid:durableId="1450513239">
    <w:abstractNumId w:val="10"/>
  </w:num>
  <w:num w:numId="26" w16cid:durableId="1147744891">
    <w:abstractNumId w:val="32"/>
  </w:num>
  <w:num w:numId="27" w16cid:durableId="2007246484">
    <w:abstractNumId w:val="16"/>
  </w:num>
  <w:num w:numId="28" w16cid:durableId="1084255073">
    <w:abstractNumId w:val="19"/>
  </w:num>
  <w:num w:numId="29" w16cid:durableId="1816989523">
    <w:abstractNumId w:val="7"/>
  </w:num>
  <w:num w:numId="30" w16cid:durableId="1004477209">
    <w:abstractNumId w:val="21"/>
  </w:num>
  <w:num w:numId="31" w16cid:durableId="151607397">
    <w:abstractNumId w:val="34"/>
  </w:num>
  <w:num w:numId="32" w16cid:durableId="61022400">
    <w:abstractNumId w:val="11"/>
  </w:num>
  <w:num w:numId="33" w16cid:durableId="641663105">
    <w:abstractNumId w:val="12"/>
  </w:num>
  <w:num w:numId="34" w16cid:durableId="186453289">
    <w:abstractNumId w:val="6"/>
  </w:num>
  <w:num w:numId="35" w16cid:durableId="1186284969">
    <w:abstractNumId w:val="14"/>
  </w:num>
  <w:num w:numId="36" w16cid:durableId="1047990906">
    <w:abstractNumId w:val="8"/>
  </w:num>
  <w:num w:numId="37" w16cid:durableId="9418849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26FC3"/>
    <w:rsid w:val="00032A0C"/>
    <w:rsid w:val="00070D06"/>
    <w:rsid w:val="000B50CC"/>
    <w:rsid w:val="000C6A2D"/>
    <w:rsid w:val="000E54B5"/>
    <w:rsid w:val="0015409B"/>
    <w:rsid w:val="00197AF9"/>
    <w:rsid w:val="001B1FBA"/>
    <w:rsid w:val="001B429B"/>
    <w:rsid w:val="001D71D3"/>
    <w:rsid w:val="00205D0C"/>
    <w:rsid w:val="0027096C"/>
    <w:rsid w:val="002766CF"/>
    <w:rsid w:val="002830AA"/>
    <w:rsid w:val="0028515F"/>
    <w:rsid w:val="002A5D13"/>
    <w:rsid w:val="002B029B"/>
    <w:rsid w:val="002B4419"/>
    <w:rsid w:val="002D45E4"/>
    <w:rsid w:val="002E4378"/>
    <w:rsid w:val="002F7B4F"/>
    <w:rsid w:val="00335A2A"/>
    <w:rsid w:val="003676E3"/>
    <w:rsid w:val="00380EF0"/>
    <w:rsid w:val="00382C01"/>
    <w:rsid w:val="003A1644"/>
    <w:rsid w:val="003E3400"/>
    <w:rsid w:val="003E5855"/>
    <w:rsid w:val="0042075B"/>
    <w:rsid w:val="00433F51"/>
    <w:rsid w:val="004639C0"/>
    <w:rsid w:val="00475E98"/>
    <w:rsid w:val="004955F6"/>
    <w:rsid w:val="004A47F9"/>
    <w:rsid w:val="004C2396"/>
    <w:rsid w:val="004E6AAB"/>
    <w:rsid w:val="0050689E"/>
    <w:rsid w:val="00547B8D"/>
    <w:rsid w:val="00551B88"/>
    <w:rsid w:val="00587D31"/>
    <w:rsid w:val="005C5A97"/>
    <w:rsid w:val="005E1850"/>
    <w:rsid w:val="0060410A"/>
    <w:rsid w:val="00614D0A"/>
    <w:rsid w:val="00653E72"/>
    <w:rsid w:val="00661981"/>
    <w:rsid w:val="006A5CFE"/>
    <w:rsid w:val="006E18EF"/>
    <w:rsid w:val="0077330A"/>
    <w:rsid w:val="00782522"/>
    <w:rsid w:val="007A1176"/>
    <w:rsid w:val="007A7CA7"/>
    <w:rsid w:val="007B0290"/>
    <w:rsid w:val="007C0AE5"/>
    <w:rsid w:val="007D6881"/>
    <w:rsid w:val="007E1A2E"/>
    <w:rsid w:val="00825AFB"/>
    <w:rsid w:val="00826760"/>
    <w:rsid w:val="00841FA8"/>
    <w:rsid w:val="00852BFB"/>
    <w:rsid w:val="008633AC"/>
    <w:rsid w:val="00887070"/>
    <w:rsid w:val="008B1F83"/>
    <w:rsid w:val="008E629B"/>
    <w:rsid w:val="008E62B1"/>
    <w:rsid w:val="008F5C4C"/>
    <w:rsid w:val="0090377C"/>
    <w:rsid w:val="00937B0B"/>
    <w:rsid w:val="009433D9"/>
    <w:rsid w:val="00977952"/>
    <w:rsid w:val="00983536"/>
    <w:rsid w:val="009A3731"/>
    <w:rsid w:val="009B721F"/>
    <w:rsid w:val="009C06A2"/>
    <w:rsid w:val="009D2836"/>
    <w:rsid w:val="00A06C64"/>
    <w:rsid w:val="00A56A28"/>
    <w:rsid w:val="00A81F33"/>
    <w:rsid w:val="00AA2417"/>
    <w:rsid w:val="00AC136E"/>
    <w:rsid w:val="00AD0F44"/>
    <w:rsid w:val="00AE3EE9"/>
    <w:rsid w:val="00AE4D06"/>
    <w:rsid w:val="00B01FFE"/>
    <w:rsid w:val="00B624E4"/>
    <w:rsid w:val="00B63A5B"/>
    <w:rsid w:val="00B707AF"/>
    <w:rsid w:val="00B87D52"/>
    <w:rsid w:val="00BC398F"/>
    <w:rsid w:val="00BD64D5"/>
    <w:rsid w:val="00BD71E9"/>
    <w:rsid w:val="00C135D1"/>
    <w:rsid w:val="00C310AF"/>
    <w:rsid w:val="00C73E1A"/>
    <w:rsid w:val="00CA1A10"/>
    <w:rsid w:val="00CC38C8"/>
    <w:rsid w:val="00D10D40"/>
    <w:rsid w:val="00D242BF"/>
    <w:rsid w:val="00D86187"/>
    <w:rsid w:val="00DB32C7"/>
    <w:rsid w:val="00DD54CC"/>
    <w:rsid w:val="00E163C6"/>
    <w:rsid w:val="00E17069"/>
    <w:rsid w:val="00E2265E"/>
    <w:rsid w:val="00EA5F7F"/>
    <w:rsid w:val="00ED3984"/>
    <w:rsid w:val="00EF05E8"/>
    <w:rsid w:val="00F12F5E"/>
    <w:rsid w:val="00F20663"/>
    <w:rsid w:val="00F53FD8"/>
    <w:rsid w:val="00F64056"/>
    <w:rsid w:val="00F64413"/>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2025-06-02T15:28:00Z</dcterms:created>
  <dcterms:modified xsi:type="dcterms:W3CDTF">2025-06-02T15:28:00Z</dcterms:modified>
</cp:coreProperties>
</file>