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4A24" w14:textId="2B1E9FD5" w:rsidR="007A1176" w:rsidRPr="00AD0F44" w:rsidRDefault="009C06A2" w:rsidP="00AD0F44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5A842BD" w14:textId="77777777" w:rsidR="00AD0F44" w:rsidRDefault="00AD0F44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6CCFF1E7" w14:textId="77777777" w:rsidR="001B1FBA" w:rsidRDefault="001B1FBA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4"/>
      </w:tblGrid>
      <w:tr w:rsidR="001B1FBA" w:rsidRPr="001B1FBA" w14:paraId="6CFCD713" w14:textId="77777777" w:rsidTr="001B1FBA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624" w:type="dxa"/>
            <w:shd w:val="clear" w:color="auto" w:fill="193965"/>
          </w:tcPr>
          <w:p w14:paraId="25F96DFA" w14:textId="77777777" w:rsidR="001B1FBA" w:rsidRPr="001B1FBA" w:rsidRDefault="001B1FBA" w:rsidP="001B1FBA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B1FBA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Stichpunktartige Ausarbeitung des To-dos Medikamentenstellen </w:t>
            </w:r>
          </w:p>
        </w:tc>
      </w:tr>
      <w:tr w:rsidR="001B1FBA" w:rsidRPr="001B1FBA" w14:paraId="6C093593" w14:textId="77777777" w:rsidTr="001B1FBA">
        <w:tblPrEx>
          <w:tblCellMar>
            <w:top w:w="0" w:type="dxa"/>
            <w:bottom w:w="0" w:type="dxa"/>
          </w:tblCellMar>
        </w:tblPrEx>
        <w:trPr>
          <w:trHeight w:val="2327"/>
          <w:jc w:val="center"/>
        </w:trPr>
        <w:tc>
          <w:tcPr>
            <w:tcW w:w="10624" w:type="dxa"/>
          </w:tcPr>
          <w:p w14:paraId="6ECA32D4" w14:textId="6E73879E" w:rsidR="001B1FBA" w:rsidRPr="001B1FBA" w:rsidRDefault="001B1FBA" w:rsidP="001B1FBA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1B1FBA">
              <w:rPr>
                <w:rFonts w:ascii="Arial" w:hAnsi="Arial" w:cs="Arial"/>
                <w:color w:val="000000" w:themeColor="text1"/>
                <w:sz w:val="24"/>
              </w:rPr>
              <w:t xml:space="preserve">Die Medikamente der Pflegekunden werden je Bereich 1-mal wöchentlich von einer Pflegefachkraft gestellt. </w:t>
            </w:r>
          </w:p>
          <w:p w14:paraId="5E0CE15B" w14:textId="251D425A" w:rsidR="001B1FBA" w:rsidRPr="001B1FBA" w:rsidRDefault="001B1FBA" w:rsidP="001B1FBA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1B1FBA">
              <w:rPr>
                <w:rFonts w:ascii="Arial" w:hAnsi="Arial" w:cs="Arial"/>
                <w:color w:val="000000" w:themeColor="text1"/>
                <w:sz w:val="24"/>
              </w:rPr>
              <w:t xml:space="preserve">Das Richten der Medikamente erfolgt anhand der Stellliste im PC. </w:t>
            </w:r>
          </w:p>
          <w:p w14:paraId="2F2E4118" w14:textId="52A04933" w:rsidR="001B1FBA" w:rsidRPr="001B1FBA" w:rsidRDefault="001B1FBA" w:rsidP="001B1FBA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1B1FBA">
              <w:rPr>
                <w:rFonts w:ascii="Arial" w:hAnsi="Arial" w:cs="Arial"/>
                <w:color w:val="000000" w:themeColor="text1"/>
                <w:sz w:val="24"/>
              </w:rPr>
              <w:t xml:space="preserve">Farblegende der Medikamentenbecher: gelb (Morgen), rot (Mittag), blau (Abend), grün (Nacht) </w:t>
            </w:r>
          </w:p>
          <w:p w14:paraId="1C83F1D0" w14:textId="28B4422F" w:rsidR="001B1FBA" w:rsidRPr="001B1FBA" w:rsidRDefault="001B1FBA" w:rsidP="001B1FBA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1B1FBA">
              <w:rPr>
                <w:rFonts w:ascii="Arial" w:hAnsi="Arial" w:cs="Arial"/>
                <w:color w:val="000000" w:themeColor="text1"/>
                <w:sz w:val="24"/>
              </w:rPr>
              <w:t xml:space="preserve">Alle Medikamente aus dem Medikamentenfach des Pflegekunden entnehmen, gemäß der aktuellen Verordnung richten. Medikamente, die gerichtet wurden, in das Medikamentenfach einsortieren. Sollte dann ein Medikament </w:t>
            </w:r>
            <w:proofErr w:type="gramStart"/>
            <w:r w:rsidRPr="001B1FBA">
              <w:rPr>
                <w:rFonts w:ascii="Arial" w:hAnsi="Arial" w:cs="Arial"/>
                <w:color w:val="000000" w:themeColor="text1"/>
                <w:sz w:val="24"/>
              </w:rPr>
              <w:t>übrig bleiben</w:t>
            </w:r>
            <w:proofErr w:type="gramEnd"/>
            <w:r w:rsidRPr="001B1FBA">
              <w:rPr>
                <w:rFonts w:ascii="Arial" w:hAnsi="Arial" w:cs="Arial"/>
                <w:color w:val="000000" w:themeColor="text1"/>
                <w:sz w:val="24"/>
              </w:rPr>
              <w:t xml:space="preserve">, erfolgt eine nochmalige Überprüfung. </w:t>
            </w:r>
          </w:p>
          <w:p w14:paraId="0CE085F8" w14:textId="2C41972A" w:rsidR="001B1FBA" w:rsidRPr="001B1FBA" w:rsidRDefault="001B1FBA" w:rsidP="001B1FBA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1B1FBA">
              <w:rPr>
                <w:rFonts w:ascii="Arial" w:hAnsi="Arial" w:cs="Arial"/>
                <w:color w:val="000000" w:themeColor="text1"/>
                <w:sz w:val="24"/>
              </w:rPr>
              <w:t>Digitale Medikamentenbestellung abschließend am PC durchführen. Faustre</w:t>
            </w:r>
            <w:r w:rsidRPr="001B1FBA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gel: Nicht gestellte Medikamente müssen noch mindestens </w:t>
            </w:r>
            <w:r w:rsidRPr="001B1FBA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für </w:t>
            </w:r>
            <w:r w:rsidRPr="001B1FBA">
              <w:rPr>
                <w:rFonts w:ascii="Arial" w:hAnsi="Arial" w:cs="Arial"/>
                <w:color w:val="000000" w:themeColor="text1"/>
                <w:sz w:val="24"/>
              </w:rPr>
              <w:t xml:space="preserve">1 Woche reichen. Wenn dies nicht der Fall ist: Nachbestellung. </w:t>
            </w:r>
          </w:p>
          <w:p w14:paraId="7A6DE0E4" w14:textId="3D19DA5B" w:rsidR="001B1FBA" w:rsidRPr="001B1FBA" w:rsidRDefault="001B1FBA" w:rsidP="001B1FBA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1B1FBA">
              <w:rPr>
                <w:rFonts w:ascii="Arial" w:hAnsi="Arial" w:cs="Arial"/>
                <w:color w:val="000000" w:themeColor="text1"/>
                <w:sz w:val="24"/>
              </w:rPr>
              <w:t xml:space="preserve">CAVE: Auch Medikamente im BTM-Fach überprüfen, ebenso Medikamente, die im Kühlschrank aufbewahrt werden, sowie Tropfen und Salben. </w:t>
            </w:r>
          </w:p>
          <w:p w14:paraId="64598DF3" w14:textId="77777777" w:rsidR="001B1FBA" w:rsidRPr="001B1FBA" w:rsidRDefault="001B1FBA" w:rsidP="001B1FB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B1FB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Zusätzliche Aufgaben, nachdem alle Medikamente gerichtet wurden: </w:t>
            </w:r>
          </w:p>
          <w:p w14:paraId="5AA79EAF" w14:textId="7DE73B6D" w:rsidR="001B1FBA" w:rsidRPr="001B1FBA" w:rsidRDefault="001B1FBA" w:rsidP="001B1FBA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1B1FBA">
              <w:rPr>
                <w:rFonts w:ascii="Arial" w:hAnsi="Arial" w:cs="Arial"/>
                <w:color w:val="000000" w:themeColor="text1"/>
                <w:sz w:val="24"/>
              </w:rPr>
              <w:t xml:space="preserve">Medikamentenschrank säubern, Nachweis hierfür abzeichnen </w:t>
            </w:r>
          </w:p>
          <w:p w14:paraId="6B7F7FA1" w14:textId="5E8EF694" w:rsidR="001B1FBA" w:rsidRPr="001B1FBA" w:rsidRDefault="001B1FBA" w:rsidP="001B1FBA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1B1FBA">
              <w:rPr>
                <w:rFonts w:ascii="Arial" w:hAnsi="Arial" w:cs="Arial"/>
                <w:color w:val="000000" w:themeColor="text1"/>
                <w:sz w:val="24"/>
              </w:rPr>
              <w:t xml:space="preserve">Wasserbecher (für Tropfen) tauschen </w:t>
            </w:r>
          </w:p>
          <w:p w14:paraId="15503E73" w14:textId="0AC72E36" w:rsidR="001B1FBA" w:rsidRPr="001B1FBA" w:rsidRDefault="001B1FBA" w:rsidP="001B1FBA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1B1FBA">
              <w:rPr>
                <w:rFonts w:ascii="Arial" w:hAnsi="Arial" w:cs="Arial"/>
                <w:color w:val="000000" w:themeColor="text1"/>
                <w:sz w:val="24"/>
              </w:rPr>
              <w:t xml:space="preserve">Kühlschranktemperatur kontrollieren und dokumentieren </w:t>
            </w:r>
          </w:p>
          <w:p w14:paraId="4278781A" w14:textId="4FDF19CE" w:rsidR="001B1FBA" w:rsidRPr="001B1FBA" w:rsidRDefault="001B1FBA" w:rsidP="001B1FBA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1B1FBA">
              <w:rPr>
                <w:rFonts w:ascii="Arial" w:hAnsi="Arial" w:cs="Arial"/>
                <w:color w:val="000000" w:themeColor="text1"/>
                <w:sz w:val="24"/>
              </w:rPr>
              <w:t xml:space="preserve">Maßnahme „Medikamente stellen“ im PC abzeichnen </w:t>
            </w:r>
          </w:p>
          <w:p w14:paraId="13EC51C2" w14:textId="2A935969" w:rsidR="001B1FBA" w:rsidRPr="001B1FBA" w:rsidRDefault="001B1FBA" w:rsidP="001B1FBA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1B1FBA">
              <w:rPr>
                <w:rFonts w:ascii="Arial" w:hAnsi="Arial" w:cs="Arial"/>
                <w:color w:val="000000" w:themeColor="text1"/>
                <w:sz w:val="24"/>
              </w:rPr>
              <w:t xml:space="preserve">Tropfenplan ausdrucken </w:t>
            </w:r>
          </w:p>
        </w:tc>
      </w:tr>
    </w:tbl>
    <w:p w14:paraId="4C0983CA" w14:textId="77777777" w:rsidR="001B1FBA" w:rsidRPr="00A81F33" w:rsidRDefault="001B1FBA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1B1FBA" w:rsidRPr="00A81F33" w:rsidSect="00BD64D5">
      <w:headerReference w:type="default" r:id="rId9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710833E3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</w:t>
          </w:r>
          <w:r w:rsidR="00B63A5B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7A1176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  <w:r w:rsidR="007A1176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31CB6"/>
    <w:multiLevelType w:val="hybridMultilevel"/>
    <w:tmpl w:val="2C84324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E5869"/>
    <w:multiLevelType w:val="hybridMultilevel"/>
    <w:tmpl w:val="E73A1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A1301"/>
    <w:multiLevelType w:val="hybridMultilevel"/>
    <w:tmpl w:val="99BEA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4551"/>
    <w:multiLevelType w:val="hybridMultilevel"/>
    <w:tmpl w:val="F99C91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F13CB"/>
    <w:multiLevelType w:val="hybridMultilevel"/>
    <w:tmpl w:val="CAFA7CB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853B6"/>
    <w:multiLevelType w:val="hybridMultilevel"/>
    <w:tmpl w:val="38C69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1F5A"/>
    <w:multiLevelType w:val="hybridMultilevel"/>
    <w:tmpl w:val="EFC4DF8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86777"/>
    <w:multiLevelType w:val="hybridMultilevel"/>
    <w:tmpl w:val="B8B45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7"/>
  </w:num>
  <w:num w:numId="2" w16cid:durableId="110518625">
    <w:abstractNumId w:val="30"/>
  </w:num>
  <w:num w:numId="3" w16cid:durableId="1023476870">
    <w:abstractNumId w:val="35"/>
  </w:num>
  <w:num w:numId="4" w16cid:durableId="1632981953">
    <w:abstractNumId w:val="19"/>
  </w:num>
  <w:num w:numId="5" w16cid:durableId="334385539">
    <w:abstractNumId w:val="9"/>
  </w:num>
  <w:num w:numId="6" w16cid:durableId="292560944">
    <w:abstractNumId w:val="13"/>
  </w:num>
  <w:num w:numId="7" w16cid:durableId="617414864">
    <w:abstractNumId w:val="23"/>
  </w:num>
  <w:num w:numId="8" w16cid:durableId="1349798627">
    <w:abstractNumId w:val="22"/>
  </w:num>
  <w:num w:numId="9" w16cid:durableId="425809380">
    <w:abstractNumId w:val="15"/>
  </w:num>
  <w:num w:numId="10" w16cid:durableId="2045593739">
    <w:abstractNumId w:val="5"/>
  </w:num>
  <w:num w:numId="11" w16cid:durableId="2030179877">
    <w:abstractNumId w:val="32"/>
  </w:num>
  <w:num w:numId="12" w16cid:durableId="808983353">
    <w:abstractNumId w:val="25"/>
  </w:num>
  <w:num w:numId="13" w16cid:durableId="1540699642">
    <w:abstractNumId w:val="26"/>
  </w:num>
  <w:num w:numId="14" w16cid:durableId="1014500060">
    <w:abstractNumId w:val="24"/>
  </w:num>
  <w:num w:numId="15" w16cid:durableId="473067152">
    <w:abstractNumId w:val="27"/>
  </w:num>
  <w:num w:numId="16" w16cid:durableId="516389024">
    <w:abstractNumId w:val="28"/>
  </w:num>
  <w:num w:numId="17" w16cid:durableId="1666322767">
    <w:abstractNumId w:val="2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21"/>
  </w:num>
  <w:num w:numId="24" w16cid:durableId="795442597">
    <w:abstractNumId w:val="34"/>
  </w:num>
  <w:num w:numId="25" w16cid:durableId="1450513239">
    <w:abstractNumId w:val="10"/>
  </w:num>
  <w:num w:numId="26" w16cid:durableId="1147744891">
    <w:abstractNumId w:val="31"/>
  </w:num>
  <w:num w:numId="27" w16cid:durableId="2007246484">
    <w:abstractNumId w:val="16"/>
  </w:num>
  <w:num w:numId="28" w16cid:durableId="1084255073">
    <w:abstractNumId w:val="18"/>
  </w:num>
  <w:num w:numId="29" w16cid:durableId="1816989523">
    <w:abstractNumId w:val="7"/>
  </w:num>
  <w:num w:numId="30" w16cid:durableId="1004477209">
    <w:abstractNumId w:val="20"/>
  </w:num>
  <w:num w:numId="31" w16cid:durableId="151607397">
    <w:abstractNumId w:val="33"/>
  </w:num>
  <w:num w:numId="32" w16cid:durableId="61022400">
    <w:abstractNumId w:val="11"/>
  </w:num>
  <w:num w:numId="33" w16cid:durableId="641663105">
    <w:abstractNumId w:val="12"/>
  </w:num>
  <w:num w:numId="34" w16cid:durableId="186453289">
    <w:abstractNumId w:val="6"/>
  </w:num>
  <w:num w:numId="35" w16cid:durableId="1186284969">
    <w:abstractNumId w:val="14"/>
  </w:num>
  <w:num w:numId="36" w16cid:durableId="1047990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B50CC"/>
    <w:rsid w:val="000C6A2D"/>
    <w:rsid w:val="000E54B5"/>
    <w:rsid w:val="0015409B"/>
    <w:rsid w:val="00197AF9"/>
    <w:rsid w:val="001B1FBA"/>
    <w:rsid w:val="001B429B"/>
    <w:rsid w:val="001D71D3"/>
    <w:rsid w:val="00205D0C"/>
    <w:rsid w:val="0027096C"/>
    <w:rsid w:val="002766CF"/>
    <w:rsid w:val="002830AA"/>
    <w:rsid w:val="0028515F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82C01"/>
    <w:rsid w:val="003A1644"/>
    <w:rsid w:val="003E3400"/>
    <w:rsid w:val="003E5855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C5A97"/>
    <w:rsid w:val="005E1850"/>
    <w:rsid w:val="00614D0A"/>
    <w:rsid w:val="00653E72"/>
    <w:rsid w:val="00661981"/>
    <w:rsid w:val="006A5CFE"/>
    <w:rsid w:val="006E18EF"/>
    <w:rsid w:val="0077330A"/>
    <w:rsid w:val="00782522"/>
    <w:rsid w:val="007A1176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83536"/>
    <w:rsid w:val="009A3731"/>
    <w:rsid w:val="009B721F"/>
    <w:rsid w:val="009C06A2"/>
    <w:rsid w:val="009D2836"/>
    <w:rsid w:val="00A06C64"/>
    <w:rsid w:val="00A56A28"/>
    <w:rsid w:val="00A81F33"/>
    <w:rsid w:val="00AA2417"/>
    <w:rsid w:val="00AC136E"/>
    <w:rsid w:val="00AD0F44"/>
    <w:rsid w:val="00AE4D06"/>
    <w:rsid w:val="00B01FFE"/>
    <w:rsid w:val="00B624E4"/>
    <w:rsid w:val="00B63A5B"/>
    <w:rsid w:val="00B707AF"/>
    <w:rsid w:val="00B87D52"/>
    <w:rsid w:val="00BC398F"/>
    <w:rsid w:val="00BD64D5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EF05E8"/>
    <w:rsid w:val="00F12F5E"/>
    <w:rsid w:val="00F20663"/>
    <w:rsid w:val="00F53FD8"/>
    <w:rsid w:val="00F64056"/>
    <w:rsid w:val="00F64413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2025-06-02T15:23:00Z</dcterms:created>
  <dcterms:modified xsi:type="dcterms:W3CDTF">2025-06-02T15:23:00Z</dcterms:modified>
</cp:coreProperties>
</file>