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90B" w14:textId="7C81B5D7" w:rsidR="007A7CA7" w:rsidRDefault="006E18EF" w:rsidP="001215B8">
      <w:pPr>
        <w:tabs>
          <w:tab w:val="left" w:pos="2430"/>
        </w:tabs>
      </w:pPr>
      <w:r>
        <w:tab/>
      </w:r>
    </w:p>
    <w:p w14:paraId="6B075157" w14:textId="77777777" w:rsidR="00770E7D" w:rsidRDefault="00770E7D" w:rsidP="00436E01"/>
    <w:p w14:paraId="2FDEB0CF" w14:textId="77777777" w:rsidR="00770E7D" w:rsidRDefault="00770E7D" w:rsidP="00436E01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338"/>
        <w:gridCol w:w="5948"/>
      </w:tblGrid>
      <w:tr w:rsidR="00770E7D" w:rsidRPr="00770E7D" w14:paraId="5B4D2B04" w14:textId="77777777" w:rsidTr="00770E7D">
        <w:trPr>
          <w:jc w:val="center"/>
        </w:trPr>
        <w:tc>
          <w:tcPr>
            <w:tcW w:w="10530" w:type="dxa"/>
            <w:gridSpan w:val="2"/>
            <w:shd w:val="clear" w:color="auto" w:fill="48AC98"/>
          </w:tcPr>
          <w:p w14:paraId="1E91D2B5" w14:textId="77777777" w:rsidR="00770E7D" w:rsidRPr="00770E7D" w:rsidRDefault="00770E7D" w:rsidP="00770E7D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770E7D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Übersicht: Bausteine für ein professionelles Delir-Management</w:t>
            </w:r>
          </w:p>
        </w:tc>
      </w:tr>
      <w:tr w:rsidR="00770E7D" w:rsidRPr="00770E7D" w14:paraId="17FF8B10" w14:textId="77777777" w:rsidTr="00770E7D">
        <w:trPr>
          <w:jc w:val="center"/>
        </w:trPr>
        <w:tc>
          <w:tcPr>
            <w:tcW w:w="3539" w:type="dxa"/>
            <w:shd w:val="clear" w:color="auto" w:fill="CDC9DD"/>
          </w:tcPr>
          <w:p w14:paraId="3A781A4F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770E7D">
              <w:rPr>
                <w:rFonts w:ascii="Arial" w:hAnsi="Arial" w:cs="Arial"/>
                <w:b/>
                <w:bCs w:val="0"/>
                <w:sz w:val="24"/>
                <w:lang w:val="de-DE"/>
              </w:rPr>
              <w:t>Baustein</w:t>
            </w:r>
          </w:p>
        </w:tc>
        <w:tc>
          <w:tcPr>
            <w:tcW w:w="6991" w:type="dxa"/>
            <w:shd w:val="clear" w:color="auto" w:fill="CDC9DD"/>
          </w:tcPr>
          <w:p w14:paraId="2C962B15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770E7D">
              <w:rPr>
                <w:rFonts w:ascii="Arial" w:hAnsi="Arial" w:cs="Arial"/>
                <w:b/>
                <w:bCs w:val="0"/>
                <w:sz w:val="24"/>
                <w:lang w:val="de-DE"/>
              </w:rPr>
              <w:t>Ihr konkreter Vorteil</w:t>
            </w:r>
          </w:p>
        </w:tc>
      </w:tr>
      <w:tr w:rsidR="00770E7D" w:rsidRPr="00770E7D" w14:paraId="68ABEF6D" w14:textId="77777777" w:rsidTr="00770E7D">
        <w:trPr>
          <w:jc w:val="center"/>
        </w:trPr>
        <w:tc>
          <w:tcPr>
            <w:tcW w:w="3539" w:type="dxa"/>
          </w:tcPr>
          <w:p w14:paraId="4186B4C3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Risikoeinschätzung und Screening</w:t>
            </w:r>
          </w:p>
        </w:tc>
        <w:tc>
          <w:tcPr>
            <w:tcW w:w="6991" w:type="dxa"/>
          </w:tcPr>
          <w:p w14:paraId="67D16F69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Frühzeitige Erkennung durch regelmäßige Erfassung der Risikofaktoren – bevor ein Delir entsteht.</w:t>
            </w:r>
          </w:p>
        </w:tc>
      </w:tr>
      <w:tr w:rsidR="00770E7D" w:rsidRPr="00770E7D" w14:paraId="22E499F6" w14:textId="77777777" w:rsidTr="00770E7D">
        <w:trPr>
          <w:jc w:val="center"/>
        </w:trPr>
        <w:tc>
          <w:tcPr>
            <w:tcW w:w="3539" w:type="dxa"/>
          </w:tcPr>
          <w:p w14:paraId="270D1219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Personalschulung und Sensibilisierung</w:t>
            </w:r>
          </w:p>
        </w:tc>
        <w:tc>
          <w:tcPr>
            <w:tcW w:w="6991" w:type="dxa"/>
          </w:tcPr>
          <w:p w14:paraId="3B7C1955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Sie und Ihr Team reagieren sicher und professionell – auch bei akuten Symptomen.</w:t>
            </w:r>
          </w:p>
        </w:tc>
      </w:tr>
      <w:tr w:rsidR="00770E7D" w:rsidRPr="00770E7D" w14:paraId="45CE1623" w14:textId="77777777" w:rsidTr="00770E7D">
        <w:trPr>
          <w:jc w:val="center"/>
        </w:trPr>
        <w:tc>
          <w:tcPr>
            <w:tcW w:w="3539" w:type="dxa"/>
          </w:tcPr>
          <w:p w14:paraId="36F3422B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770E7D">
              <w:rPr>
                <w:rFonts w:ascii="Arial" w:hAnsi="Arial" w:cs="Arial"/>
                <w:sz w:val="24"/>
                <w:lang w:val="de-DE"/>
              </w:rPr>
              <w:t>Personzentrierte</w:t>
            </w:r>
            <w:proofErr w:type="spellEnd"/>
            <w:r w:rsidRPr="00770E7D">
              <w:rPr>
                <w:rFonts w:ascii="Arial" w:hAnsi="Arial" w:cs="Arial"/>
                <w:sz w:val="24"/>
                <w:lang w:val="de-DE"/>
              </w:rPr>
              <w:t xml:space="preserve"> Pflege und Umgebungsgestaltung</w:t>
            </w:r>
          </w:p>
        </w:tc>
        <w:tc>
          <w:tcPr>
            <w:tcW w:w="6991" w:type="dxa"/>
          </w:tcPr>
          <w:p w14:paraId="2D3E3042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Weniger Unruhe, mehr Orientierung: Das reduziert das Delir-Risiko spürbar.</w:t>
            </w:r>
          </w:p>
        </w:tc>
      </w:tr>
      <w:tr w:rsidR="00770E7D" w:rsidRPr="00770E7D" w14:paraId="440F689C" w14:textId="77777777" w:rsidTr="00770E7D">
        <w:trPr>
          <w:jc w:val="center"/>
        </w:trPr>
        <w:tc>
          <w:tcPr>
            <w:tcW w:w="3539" w:type="dxa"/>
          </w:tcPr>
          <w:p w14:paraId="0E342578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Interdisziplinäre Zusammenarbeit</w:t>
            </w:r>
          </w:p>
        </w:tc>
        <w:tc>
          <w:tcPr>
            <w:tcW w:w="6991" w:type="dxa"/>
          </w:tcPr>
          <w:p w14:paraId="018E1D87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Klare Absprachen und Kommunikation sorgen für schnelle, koordinierte Reaktionen.</w:t>
            </w:r>
          </w:p>
        </w:tc>
      </w:tr>
      <w:tr w:rsidR="00770E7D" w:rsidRPr="00770E7D" w14:paraId="6FDEED0F" w14:textId="77777777" w:rsidTr="00770E7D">
        <w:trPr>
          <w:jc w:val="center"/>
        </w:trPr>
        <w:tc>
          <w:tcPr>
            <w:tcW w:w="3539" w:type="dxa"/>
          </w:tcPr>
          <w:p w14:paraId="1E2CF4BA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(Nicht-)pharmakologische Maßnahmen</w:t>
            </w:r>
          </w:p>
        </w:tc>
        <w:tc>
          <w:tcPr>
            <w:tcW w:w="6991" w:type="dxa"/>
          </w:tcPr>
          <w:p w14:paraId="3DB55086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Maßgeschneiderte Interventionen senken die Delir-Schwere und verbessern die Lebensqualität.</w:t>
            </w:r>
          </w:p>
        </w:tc>
      </w:tr>
      <w:tr w:rsidR="00770E7D" w:rsidRPr="00770E7D" w14:paraId="3F8CFCD3" w14:textId="77777777" w:rsidTr="00770E7D">
        <w:trPr>
          <w:jc w:val="center"/>
        </w:trPr>
        <w:tc>
          <w:tcPr>
            <w:tcW w:w="3539" w:type="dxa"/>
          </w:tcPr>
          <w:p w14:paraId="5639441F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Dokumentation und Qualitätsmanagement</w:t>
            </w:r>
          </w:p>
        </w:tc>
        <w:tc>
          <w:tcPr>
            <w:tcW w:w="6991" w:type="dxa"/>
          </w:tcPr>
          <w:p w14:paraId="6DF733D9" w14:textId="77777777" w:rsidR="00770E7D" w:rsidRPr="00770E7D" w:rsidRDefault="00770E7D" w:rsidP="00770E7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770E7D">
              <w:rPr>
                <w:rFonts w:ascii="Arial" w:hAnsi="Arial" w:cs="Arial"/>
                <w:sz w:val="24"/>
                <w:lang w:val="de-DE"/>
              </w:rPr>
              <w:t>Sie erkennen Veränderungen frühzeitig und verbessern Ihre Abläufe kontinuierlich.</w:t>
            </w:r>
          </w:p>
        </w:tc>
      </w:tr>
    </w:tbl>
    <w:p w14:paraId="4956B606" w14:textId="77777777" w:rsidR="00770E7D" w:rsidRDefault="00770E7D" w:rsidP="00436E01"/>
    <w:sectPr w:rsidR="00770E7D" w:rsidSect="000E086A">
      <w:headerReference w:type="default" r:id="rId9"/>
      <w:pgSz w:w="11906" w:h="16838" w:code="9"/>
      <w:pgMar w:top="-567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53A9A7B2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4AD2">
            <w:rPr>
              <w:b/>
              <w:color w:val="FFFFFF"/>
              <w:sz w:val="24"/>
            </w:rPr>
            <w:t>0</w:t>
          </w:r>
          <w:r w:rsidR="001215B8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  <w:r w:rsidR="001215B8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770E7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91" type="#_x0000_t75" style="width:247.5pt;height:60.75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192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65BD"/>
    <w:multiLevelType w:val="hybridMultilevel"/>
    <w:tmpl w:val="C290B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6CE4"/>
    <w:multiLevelType w:val="hybridMultilevel"/>
    <w:tmpl w:val="CE66C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BBA"/>
    <w:multiLevelType w:val="hybridMultilevel"/>
    <w:tmpl w:val="7D42BBF2"/>
    <w:lvl w:ilvl="0" w:tplc="4DB808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2"/>
  </w:num>
  <w:num w:numId="2" w16cid:durableId="1768882820">
    <w:abstractNumId w:val="22"/>
  </w:num>
  <w:num w:numId="3" w16cid:durableId="35158390">
    <w:abstractNumId w:val="24"/>
  </w:num>
  <w:num w:numId="4" w16cid:durableId="1582063786">
    <w:abstractNumId w:val="13"/>
  </w:num>
  <w:num w:numId="5" w16cid:durableId="460341628">
    <w:abstractNumId w:val="6"/>
  </w:num>
  <w:num w:numId="6" w16cid:durableId="1363944139">
    <w:abstractNumId w:val="10"/>
  </w:num>
  <w:num w:numId="7" w16cid:durableId="518814105">
    <w:abstractNumId w:val="15"/>
  </w:num>
  <w:num w:numId="8" w16cid:durableId="484511790">
    <w:abstractNumId w:val="14"/>
  </w:num>
  <w:num w:numId="9" w16cid:durableId="1082413873">
    <w:abstractNumId w:val="11"/>
  </w:num>
  <w:num w:numId="10" w16cid:durableId="1074082828">
    <w:abstractNumId w:val="5"/>
  </w:num>
  <w:num w:numId="11" w16cid:durableId="1311444557">
    <w:abstractNumId w:val="23"/>
  </w:num>
  <w:num w:numId="12" w16cid:durableId="1903829581">
    <w:abstractNumId w:val="17"/>
  </w:num>
  <w:num w:numId="13" w16cid:durableId="405805395">
    <w:abstractNumId w:val="18"/>
  </w:num>
  <w:num w:numId="14" w16cid:durableId="1365642997">
    <w:abstractNumId w:val="16"/>
  </w:num>
  <w:num w:numId="15" w16cid:durableId="135924038">
    <w:abstractNumId w:val="19"/>
  </w:num>
  <w:num w:numId="16" w16cid:durableId="1397776156">
    <w:abstractNumId w:val="20"/>
  </w:num>
  <w:num w:numId="17" w16cid:durableId="1943148140">
    <w:abstractNumId w:val="21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358120086">
    <w:abstractNumId w:val="8"/>
  </w:num>
  <w:num w:numId="24" w16cid:durableId="790515320">
    <w:abstractNumId w:val="7"/>
  </w:num>
  <w:num w:numId="25" w16cid:durableId="63610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0E086A"/>
    <w:rsid w:val="001215B8"/>
    <w:rsid w:val="0015409B"/>
    <w:rsid w:val="001849BE"/>
    <w:rsid w:val="001B429B"/>
    <w:rsid w:val="00205D0C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307"/>
    <w:rsid w:val="005D5069"/>
    <w:rsid w:val="005E1850"/>
    <w:rsid w:val="005F2944"/>
    <w:rsid w:val="00614D0A"/>
    <w:rsid w:val="00634BB8"/>
    <w:rsid w:val="00653E72"/>
    <w:rsid w:val="00661981"/>
    <w:rsid w:val="006A5CFE"/>
    <w:rsid w:val="006C35DC"/>
    <w:rsid w:val="006E18EF"/>
    <w:rsid w:val="006F066B"/>
    <w:rsid w:val="00726F02"/>
    <w:rsid w:val="00770E7D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00F7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B2425"/>
    <w:rsid w:val="00CC38C8"/>
    <w:rsid w:val="00CD04DD"/>
    <w:rsid w:val="00CE4AD2"/>
    <w:rsid w:val="00D86187"/>
    <w:rsid w:val="00DB32C7"/>
    <w:rsid w:val="00DD36A5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1215B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spann">
    <w:name w:val="Vorspann"/>
    <w:basedOn w:val="Standard"/>
    <w:qFormat/>
    <w:rsid w:val="006C35DC"/>
    <w:pPr>
      <w:spacing w:after="0" w:line="240" w:lineRule="auto"/>
    </w:pPr>
    <w:rPr>
      <w:rFonts w:cs="Calibri"/>
      <w:b/>
      <w:bCs/>
      <w:sz w:val="20"/>
      <w:szCs w:val="20"/>
    </w:rPr>
  </w:style>
  <w:style w:type="paragraph" w:customStyle="1" w:styleId="Flietext">
    <w:name w:val="Fließtext"/>
    <w:basedOn w:val="Standard"/>
    <w:qFormat/>
    <w:rsid w:val="00CB2425"/>
    <w:pPr>
      <w:spacing w:after="0" w:line="240" w:lineRule="auto"/>
    </w:pPr>
    <w:rPr>
      <w:rFonts w:cs="Calibri"/>
      <w:sz w:val="20"/>
      <w:szCs w:val="20"/>
    </w:rPr>
  </w:style>
  <w:style w:type="paragraph" w:customStyle="1" w:styleId="Subheadwei">
    <w:name w:val="Subhead weiß"/>
    <w:basedOn w:val="Standard"/>
    <w:qFormat/>
    <w:rsid w:val="00CB2425"/>
    <w:pPr>
      <w:widowControl w:val="0"/>
      <w:autoSpaceDE w:val="0"/>
      <w:autoSpaceDN w:val="0"/>
      <w:spacing w:after="80" w:line="216" w:lineRule="auto"/>
    </w:pPr>
    <w:rPr>
      <w:rFonts w:cs="Calibri"/>
      <w:b/>
      <w:bCs/>
      <w:i/>
      <w:iCs/>
      <w:color w:val="FFFFFF"/>
      <w:sz w:val="24"/>
      <w:szCs w:val="24"/>
      <w:lang w:val="en-US"/>
    </w:rPr>
  </w:style>
  <w:style w:type="paragraph" w:customStyle="1" w:styleId="TabelleSubhead">
    <w:name w:val="Tabelle Subhead"/>
    <w:basedOn w:val="Flietext"/>
    <w:qFormat/>
    <w:rsid w:val="008E00F7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Flietext8">
    <w:name w:val="Fließtext 8"/>
    <w:aliases w:val="5"/>
    <w:basedOn w:val="Flietext"/>
    <w:qFormat/>
    <w:rsid w:val="008E00F7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TabelleHead">
    <w:name w:val="Tabelle Head"/>
    <w:basedOn w:val="Standard"/>
    <w:qFormat/>
    <w:rsid w:val="008E00F7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2025-05-08T15:50:00Z</dcterms:created>
  <dcterms:modified xsi:type="dcterms:W3CDTF">2025-05-08T15:50:00Z</dcterms:modified>
</cp:coreProperties>
</file>