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6124990B" w14:textId="7C81B5D7" w:rsidR="007A7CA7" w:rsidRDefault="006E18EF" w:rsidP="001215B8">
      <w:pPr>
        <w:tabs>
          <w:tab w:val="left" w:pos="2430"/>
        </w:tabs>
      </w:pPr>
      <w:r>
        <w:tab/>
      </w:r>
    </w:p>
    <w:p w14:paraId="70B19B3F" w14:textId="77777777" w:rsidR="00CB2425" w:rsidRDefault="00CB2425" w:rsidP="00436E01"/>
    <w:p w14:paraId="5B0B6130" w14:textId="77777777" w:rsidR="00CB2425" w:rsidRDefault="00CB2425" w:rsidP="00436E01"/>
    <w:tbl>
      <w:tblPr>
        <w:tblStyle w:val="Tabellenraster"/>
        <w:tblW w:w="10664" w:type="dxa"/>
        <w:jc w:val="center"/>
        <w:shd w:val="clear" w:color="auto" w:fill="9E95BD"/>
        <w:tblLook w:val="04A0" w:firstRow="1" w:lastRow="0" w:firstColumn="1" w:lastColumn="0" w:noHBand="0" w:noVBand="1"/>
      </w:tblPr>
      <w:tblGrid>
        <w:gridCol w:w="2031"/>
        <w:gridCol w:w="3019"/>
        <w:gridCol w:w="2835"/>
        <w:gridCol w:w="2779"/>
      </w:tblGrid>
      <w:tr w:rsidR="00CB2425" w:rsidRPr="00CB2425" w14:paraId="3A722A1B" w14:textId="77777777" w:rsidTr="008E00F7">
        <w:trPr>
          <w:jc w:val="center"/>
        </w:trPr>
        <w:tc>
          <w:tcPr>
            <w:tcW w:w="10664" w:type="dxa"/>
            <w:gridSpan w:val="4"/>
            <w:shd w:val="clear" w:color="auto" w:fill="48AC98"/>
          </w:tcPr>
          <w:p w14:paraId="0D2E0B3F" w14:textId="0005BFAB" w:rsidR="00CB2425" w:rsidRPr="00CB2425" w:rsidRDefault="00CB2425" w:rsidP="00CB2425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  <w:bookmarkStart w:id="0" w:name="_Hlk186280821"/>
            <w:r w:rsidRPr="00CB2425"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 xml:space="preserve">Übersicht: </w:t>
            </w:r>
            <w:r w:rsidR="008E00F7" w:rsidRPr="008E00F7"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>Delir-Screening: Stärken und Schwächen verschiedener Methoden</w:t>
            </w:r>
          </w:p>
        </w:tc>
      </w:tr>
      <w:tr w:rsidR="008E00F7" w:rsidRPr="00CB2425" w14:paraId="6A694FFB" w14:textId="77777777" w:rsidTr="008E00F7">
        <w:trPr>
          <w:trHeight w:val="70"/>
          <w:jc w:val="center"/>
        </w:trPr>
        <w:tc>
          <w:tcPr>
            <w:tcW w:w="2031" w:type="dxa"/>
            <w:shd w:val="clear" w:color="auto" w:fill="CDC9DD"/>
          </w:tcPr>
          <w:p w14:paraId="06CCF6EB" w14:textId="146D9590" w:rsidR="008E00F7" w:rsidRPr="00CB2425" w:rsidRDefault="008E00F7" w:rsidP="008E00F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8E00F7">
              <w:rPr>
                <w:rFonts w:ascii="Arial" w:hAnsi="Arial" w:cs="Arial"/>
                <w:b/>
                <w:bCs w:val="0"/>
                <w:sz w:val="24"/>
                <w:lang w:val="de-DE"/>
              </w:rPr>
              <w:t>Verfahren/Skala</w:t>
            </w:r>
          </w:p>
        </w:tc>
        <w:tc>
          <w:tcPr>
            <w:tcW w:w="3019" w:type="dxa"/>
            <w:shd w:val="clear" w:color="auto" w:fill="CDC9DD"/>
          </w:tcPr>
          <w:p w14:paraId="00293A3D" w14:textId="4B0F753A" w:rsidR="008E00F7" w:rsidRPr="00CB2425" w:rsidRDefault="008E00F7" w:rsidP="008E00F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8E00F7">
              <w:rPr>
                <w:rFonts w:ascii="Arial" w:hAnsi="Arial" w:cs="Arial"/>
                <w:b/>
                <w:bCs w:val="0"/>
                <w:sz w:val="24"/>
                <w:lang w:val="de-DE"/>
              </w:rPr>
              <w:t>Kurzbeschreibung</w:t>
            </w:r>
          </w:p>
        </w:tc>
        <w:tc>
          <w:tcPr>
            <w:tcW w:w="2835" w:type="dxa"/>
            <w:shd w:val="clear" w:color="auto" w:fill="CDC9DD"/>
          </w:tcPr>
          <w:p w14:paraId="48ABF7B9" w14:textId="2B110997" w:rsidR="008E00F7" w:rsidRPr="00CB2425" w:rsidRDefault="008E00F7" w:rsidP="008E00F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8E00F7">
              <w:rPr>
                <w:rFonts w:ascii="Arial" w:hAnsi="Arial" w:cs="Arial"/>
                <w:b/>
                <w:bCs w:val="0"/>
                <w:sz w:val="24"/>
                <w:lang w:val="de-DE"/>
              </w:rPr>
              <w:t>Stärken</w:t>
            </w:r>
          </w:p>
        </w:tc>
        <w:tc>
          <w:tcPr>
            <w:tcW w:w="2779" w:type="dxa"/>
            <w:shd w:val="clear" w:color="auto" w:fill="CDC9DD"/>
          </w:tcPr>
          <w:p w14:paraId="5083C6AA" w14:textId="47A99F53" w:rsidR="008E00F7" w:rsidRPr="00CB2425" w:rsidRDefault="008E00F7" w:rsidP="008E00F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  <w:lang w:val="de-DE"/>
              </w:rPr>
            </w:pPr>
            <w:r w:rsidRPr="008E00F7">
              <w:rPr>
                <w:rFonts w:ascii="Arial" w:hAnsi="Arial" w:cs="Arial"/>
                <w:b/>
                <w:bCs w:val="0"/>
                <w:sz w:val="24"/>
                <w:lang w:val="de-DE"/>
              </w:rPr>
              <w:t xml:space="preserve">Schwächen </w:t>
            </w:r>
          </w:p>
        </w:tc>
      </w:tr>
      <w:tr w:rsidR="008E00F7" w:rsidRPr="008E00F7" w14:paraId="6D3AA041" w14:textId="77777777" w:rsidTr="008E00F7">
        <w:trPr>
          <w:trHeight w:val="70"/>
          <w:jc w:val="center"/>
        </w:trPr>
        <w:tc>
          <w:tcPr>
            <w:tcW w:w="2031" w:type="dxa"/>
            <w:shd w:val="clear" w:color="auto" w:fill="auto"/>
          </w:tcPr>
          <w:p w14:paraId="5642DBF3" w14:textId="1F390E07" w:rsidR="008E00F7" w:rsidRPr="008E00F7" w:rsidRDefault="008E00F7" w:rsidP="008E00F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proofErr w:type="spellStart"/>
            <w:r w:rsidRPr="008E00F7">
              <w:rPr>
                <w:rFonts w:ascii="Arial" w:hAnsi="Arial" w:cs="Arial"/>
                <w:sz w:val="24"/>
                <w:lang w:val="de-DE"/>
              </w:rPr>
              <w:t>Confusion</w:t>
            </w:r>
            <w:proofErr w:type="spellEnd"/>
            <w:r w:rsidRPr="008E00F7">
              <w:rPr>
                <w:rFonts w:ascii="Arial" w:hAnsi="Arial" w:cs="Arial"/>
                <w:sz w:val="24"/>
                <w:lang w:val="de-DE"/>
              </w:rPr>
              <w:t xml:space="preserve"> Assessment Method (CAM); Variante für beatmete oder Intensivpatienten steht zur Verfügung</w:t>
            </w:r>
          </w:p>
        </w:tc>
        <w:tc>
          <w:tcPr>
            <w:tcW w:w="3019" w:type="dxa"/>
            <w:shd w:val="clear" w:color="auto" w:fill="auto"/>
          </w:tcPr>
          <w:p w14:paraId="5DFCD4FD" w14:textId="6ADBEAB2" w:rsidR="008E00F7" w:rsidRPr="008E00F7" w:rsidRDefault="008E00F7" w:rsidP="008E00F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8E00F7">
              <w:rPr>
                <w:rFonts w:ascii="Arial" w:hAnsi="Arial" w:cs="Arial"/>
                <w:sz w:val="24"/>
                <w:lang w:val="de-DE"/>
              </w:rPr>
              <w:t>Häufig verwendetes Screening-Tool zur Erfassung von Delir anhand von 4 Kernmerkmalen: (1) Akuter Beginn &amp; Fluktuation, (2) Unaufmerksamkeit, (3) Desorganisiertes Denken, (4) Verändertes Bewusstsein.</w:t>
            </w:r>
          </w:p>
        </w:tc>
        <w:tc>
          <w:tcPr>
            <w:tcW w:w="2835" w:type="dxa"/>
            <w:shd w:val="clear" w:color="auto" w:fill="auto"/>
          </w:tcPr>
          <w:p w14:paraId="4783D456" w14:textId="11C7ABCC" w:rsidR="008E00F7" w:rsidRPr="008E00F7" w:rsidRDefault="008E00F7" w:rsidP="008E00F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8E00F7">
              <w:rPr>
                <w:rFonts w:ascii="Arial" w:hAnsi="Arial" w:cs="Arial"/>
                <w:sz w:val="24"/>
                <w:lang w:val="de-DE"/>
              </w:rPr>
              <w:t>Sehr gut validiert und weit verbreitet. Schnell durchführbar (ca. 5–10 Minuten). Spezifisch und relativ sensitiv, auch bei Demenz.</w:t>
            </w:r>
          </w:p>
        </w:tc>
        <w:tc>
          <w:tcPr>
            <w:tcW w:w="2779" w:type="dxa"/>
            <w:shd w:val="clear" w:color="auto" w:fill="auto"/>
          </w:tcPr>
          <w:p w14:paraId="2775CCB2" w14:textId="341671C6" w:rsidR="008E00F7" w:rsidRPr="008E00F7" w:rsidRDefault="008E00F7" w:rsidP="008E00F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8E00F7">
              <w:rPr>
                <w:rFonts w:ascii="Arial" w:hAnsi="Arial" w:cs="Arial"/>
                <w:sz w:val="24"/>
                <w:lang w:val="de-DE"/>
              </w:rPr>
              <w:t>Erfordert Schulung. Bei starker kognitiver Beeinträchtigung und erschwerter verbaler Kommunikation schwierig.</w:t>
            </w:r>
          </w:p>
        </w:tc>
      </w:tr>
      <w:tr w:rsidR="008E00F7" w:rsidRPr="008E00F7" w14:paraId="38D515AA" w14:textId="77777777" w:rsidTr="008E00F7">
        <w:trPr>
          <w:trHeight w:val="70"/>
          <w:jc w:val="center"/>
        </w:trPr>
        <w:tc>
          <w:tcPr>
            <w:tcW w:w="2031" w:type="dxa"/>
            <w:shd w:val="clear" w:color="auto" w:fill="auto"/>
          </w:tcPr>
          <w:p w14:paraId="42373B68" w14:textId="61ACFF63" w:rsidR="008E00F7" w:rsidRPr="008E00F7" w:rsidRDefault="008E00F7" w:rsidP="008E00F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8E00F7">
              <w:rPr>
                <w:rFonts w:ascii="Arial" w:hAnsi="Arial" w:cs="Arial"/>
                <w:sz w:val="24"/>
                <w:lang w:val="en-GB"/>
              </w:rPr>
              <w:t>4AT (Alertness, Attention, AMT4, acute change)</w:t>
            </w:r>
          </w:p>
        </w:tc>
        <w:tc>
          <w:tcPr>
            <w:tcW w:w="3019" w:type="dxa"/>
            <w:shd w:val="clear" w:color="auto" w:fill="auto"/>
          </w:tcPr>
          <w:p w14:paraId="5BEED614" w14:textId="44CE50A2" w:rsidR="008E00F7" w:rsidRPr="008E00F7" w:rsidRDefault="008E00F7" w:rsidP="008E00F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8E00F7">
              <w:rPr>
                <w:rFonts w:ascii="Arial" w:hAnsi="Arial" w:cs="Arial"/>
                <w:sz w:val="24"/>
                <w:lang w:val="de-DE"/>
              </w:rPr>
              <w:t>Kurztest mit vier Items: Vigilanz, Aufmerksamkeit, kognitive Testaufgabe (AMT4), akute oder fluktuierende Veränderungen.</w:t>
            </w:r>
          </w:p>
        </w:tc>
        <w:tc>
          <w:tcPr>
            <w:tcW w:w="2835" w:type="dxa"/>
            <w:shd w:val="clear" w:color="auto" w:fill="auto"/>
          </w:tcPr>
          <w:p w14:paraId="74979A2C" w14:textId="39F81E42" w:rsidR="008E00F7" w:rsidRPr="008E00F7" w:rsidRDefault="008E00F7" w:rsidP="008E00F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8E00F7">
              <w:rPr>
                <w:rFonts w:ascii="Arial" w:hAnsi="Arial" w:cs="Arial"/>
                <w:sz w:val="24"/>
                <w:lang w:val="de-DE"/>
              </w:rPr>
              <w:t>Sehr kurze Dauer (1–2 Minuten). Geringer Schulungsaufwand. Gute Sensitivität und Spezifität (auch bei Demenz).</w:t>
            </w:r>
          </w:p>
        </w:tc>
        <w:tc>
          <w:tcPr>
            <w:tcW w:w="2779" w:type="dxa"/>
            <w:shd w:val="clear" w:color="auto" w:fill="auto"/>
          </w:tcPr>
          <w:p w14:paraId="7702932D" w14:textId="7EADA7C9" w:rsidR="008E00F7" w:rsidRPr="008E00F7" w:rsidRDefault="008E00F7" w:rsidP="008E00F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8E00F7">
              <w:rPr>
                <w:rFonts w:ascii="Arial" w:hAnsi="Arial" w:cs="Arial"/>
                <w:sz w:val="24"/>
                <w:lang w:val="de-DE"/>
              </w:rPr>
              <w:t>Weniger differenziert als CAM. Schwieriger bei ausgeprägter Demenz, wenn Aufmerksamkeit schwer zu beurteilen ist.</w:t>
            </w:r>
          </w:p>
        </w:tc>
      </w:tr>
      <w:tr w:rsidR="008E00F7" w:rsidRPr="008E00F7" w14:paraId="5018435D" w14:textId="77777777" w:rsidTr="008E00F7">
        <w:trPr>
          <w:trHeight w:val="70"/>
          <w:jc w:val="center"/>
        </w:trPr>
        <w:tc>
          <w:tcPr>
            <w:tcW w:w="2031" w:type="dxa"/>
            <w:shd w:val="clear" w:color="auto" w:fill="auto"/>
          </w:tcPr>
          <w:p w14:paraId="11F043D1" w14:textId="4DDD3454" w:rsidR="008E00F7" w:rsidRPr="008E00F7" w:rsidRDefault="008E00F7" w:rsidP="008E00F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8E00F7">
              <w:rPr>
                <w:rFonts w:ascii="Arial" w:hAnsi="Arial" w:cs="Arial"/>
                <w:sz w:val="24"/>
                <w:lang w:val="en-GB"/>
              </w:rPr>
              <w:t>Delirium Observation Screening Scale (DOS)</w:t>
            </w:r>
          </w:p>
        </w:tc>
        <w:tc>
          <w:tcPr>
            <w:tcW w:w="3019" w:type="dxa"/>
            <w:shd w:val="clear" w:color="auto" w:fill="auto"/>
          </w:tcPr>
          <w:p w14:paraId="49665715" w14:textId="3A2D69C9" w:rsidR="008E00F7" w:rsidRPr="008E00F7" w:rsidRDefault="008E00F7" w:rsidP="008E00F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8E00F7">
              <w:rPr>
                <w:rFonts w:ascii="Arial" w:hAnsi="Arial" w:cs="Arial"/>
                <w:sz w:val="24"/>
                <w:lang w:val="de-DE"/>
              </w:rPr>
              <w:t>Beobachtungsskala mit 13 Items, die Pflegekräfte mehrmals täglich ausfüllen, basierend auf Verhaltensbeobachtungen (z. B. Bewegungsunruhe, Schlaf-Wach-Rhythmus).</w:t>
            </w:r>
          </w:p>
        </w:tc>
        <w:tc>
          <w:tcPr>
            <w:tcW w:w="2835" w:type="dxa"/>
            <w:shd w:val="clear" w:color="auto" w:fill="auto"/>
          </w:tcPr>
          <w:p w14:paraId="76279645" w14:textId="7B4013BD" w:rsidR="008E00F7" w:rsidRPr="008E00F7" w:rsidRDefault="008E00F7" w:rsidP="008E00F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8E00F7">
              <w:rPr>
                <w:rFonts w:ascii="Arial" w:hAnsi="Arial" w:cs="Arial"/>
                <w:sz w:val="24"/>
                <w:lang w:val="de-DE"/>
              </w:rPr>
              <w:t>Gut anwendbar in Pflegeheimen und geriatrischen Stationen. Systematische Einschätzung über mehrere Schichten ohne verbale Mitarbeit der Betroffenen erforderlich.</w:t>
            </w:r>
          </w:p>
        </w:tc>
        <w:tc>
          <w:tcPr>
            <w:tcW w:w="2779" w:type="dxa"/>
            <w:shd w:val="clear" w:color="auto" w:fill="auto"/>
          </w:tcPr>
          <w:p w14:paraId="67BCC681" w14:textId="6442440D" w:rsidR="008E00F7" w:rsidRPr="008E00F7" w:rsidRDefault="008E00F7" w:rsidP="008E00F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8E00F7">
              <w:rPr>
                <w:rFonts w:ascii="Arial" w:hAnsi="Arial" w:cs="Arial"/>
                <w:sz w:val="24"/>
                <w:lang w:val="de-DE"/>
              </w:rPr>
              <w:t>Regelmäßige Anwendung notwendig (z. B. dreimal täglich). Subjektive Einschätzung der Pflegekräfte kann die Reliabilität beeinflussen.</w:t>
            </w:r>
          </w:p>
        </w:tc>
      </w:tr>
      <w:tr w:rsidR="008E00F7" w:rsidRPr="008E00F7" w14:paraId="3130540A" w14:textId="77777777" w:rsidTr="008E00F7">
        <w:trPr>
          <w:trHeight w:val="70"/>
          <w:jc w:val="center"/>
        </w:trPr>
        <w:tc>
          <w:tcPr>
            <w:tcW w:w="2031" w:type="dxa"/>
            <w:shd w:val="clear" w:color="auto" w:fill="auto"/>
          </w:tcPr>
          <w:p w14:paraId="3F54353F" w14:textId="2614E2DE" w:rsidR="008E00F7" w:rsidRPr="008E00F7" w:rsidRDefault="008E00F7" w:rsidP="008E00F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8E00F7">
              <w:rPr>
                <w:rFonts w:ascii="Arial" w:hAnsi="Arial" w:cs="Arial"/>
                <w:sz w:val="24"/>
                <w:lang w:val="en-GB"/>
              </w:rPr>
              <w:t>Nursing Delirium Screening Scale (Nu-DESC)</w:t>
            </w:r>
          </w:p>
        </w:tc>
        <w:tc>
          <w:tcPr>
            <w:tcW w:w="3019" w:type="dxa"/>
            <w:shd w:val="clear" w:color="auto" w:fill="auto"/>
          </w:tcPr>
          <w:p w14:paraId="1C8B96BE" w14:textId="0A503352" w:rsidR="008E00F7" w:rsidRPr="008E00F7" w:rsidRDefault="008E00F7" w:rsidP="008E00F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8E00F7">
              <w:rPr>
                <w:rFonts w:ascii="Arial" w:hAnsi="Arial" w:cs="Arial"/>
                <w:sz w:val="24"/>
                <w:lang w:val="de-DE"/>
              </w:rPr>
              <w:t>Standardisiertes Instrument für Pflegepersonal, das Orientierung, Verhalten, Kommunikation und Wahrnehmung prüft.</w:t>
            </w:r>
          </w:p>
        </w:tc>
        <w:tc>
          <w:tcPr>
            <w:tcW w:w="2835" w:type="dxa"/>
            <w:shd w:val="clear" w:color="auto" w:fill="auto"/>
          </w:tcPr>
          <w:p w14:paraId="3222BD3B" w14:textId="41CD8E01" w:rsidR="008E00F7" w:rsidRPr="008E00F7" w:rsidRDefault="008E00F7" w:rsidP="008E00F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8E00F7">
              <w:rPr>
                <w:rFonts w:ascii="Arial" w:hAnsi="Arial" w:cs="Arial"/>
                <w:sz w:val="24"/>
                <w:lang w:val="de-DE"/>
              </w:rPr>
              <w:t>Einfach zu handhaben. Kontinuierliches Monitoring möglich. Praxisnah, da auf Pflegebeobachtungen basierend.</w:t>
            </w:r>
          </w:p>
        </w:tc>
        <w:tc>
          <w:tcPr>
            <w:tcW w:w="2779" w:type="dxa"/>
            <w:shd w:val="clear" w:color="auto" w:fill="auto"/>
          </w:tcPr>
          <w:p w14:paraId="79C261D6" w14:textId="05CDA591" w:rsidR="008E00F7" w:rsidRPr="008E00F7" w:rsidRDefault="008E00F7" w:rsidP="008E00F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8E00F7">
              <w:rPr>
                <w:rFonts w:ascii="Arial" w:hAnsi="Arial" w:cs="Arial"/>
                <w:sz w:val="24"/>
                <w:lang w:val="de-DE"/>
              </w:rPr>
              <w:t>Schwieriger bei komplexen kognitiven Einschränkungen.</w:t>
            </w:r>
          </w:p>
        </w:tc>
      </w:tr>
      <w:bookmarkEnd w:id="0"/>
    </w:tbl>
    <w:p w14:paraId="20963AD1" w14:textId="77777777" w:rsidR="008E00F7" w:rsidRDefault="008E00F7" w:rsidP="00436E01"/>
    <w:sectPr w:rsidR="008E00F7" w:rsidSect="00634BB8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85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24"/>
      <w:gridCol w:w="6748"/>
    </w:tblGrid>
    <w:tr w:rsidR="00067069" w14:paraId="61249913" w14:textId="77777777" w:rsidTr="00953BC9">
      <w:trPr>
        <w:trHeight w:val="1221"/>
        <w:jc w:val="center"/>
      </w:trPr>
      <w:tc>
        <w:tcPr>
          <w:tcW w:w="1361" w:type="pct"/>
          <w:tcBorders>
            <w:bottom w:val="single" w:sz="4" w:space="0" w:color="auto"/>
          </w:tcBorders>
          <w:shd w:val="clear" w:color="auto" w:fill="9E95BD"/>
          <w:vAlign w:val="center"/>
        </w:tcPr>
        <w:p w14:paraId="61249911" w14:textId="53A9A7B2" w:rsidR="00067069" w:rsidRPr="007A7CA7" w:rsidRDefault="00067069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CE4AD2">
            <w:rPr>
              <w:b/>
              <w:color w:val="FFFFFF"/>
              <w:sz w:val="24"/>
            </w:rPr>
            <w:t>0</w:t>
          </w:r>
          <w:r w:rsidR="001215B8">
            <w:rPr>
              <w:b/>
              <w:color w:val="FFFFFF"/>
              <w:sz w:val="24"/>
            </w:rPr>
            <w:t>6</w:t>
          </w:r>
          <w:r>
            <w:rPr>
              <w:b/>
              <w:color w:val="FFFFFF"/>
              <w:sz w:val="24"/>
            </w:rPr>
            <w:t xml:space="preserve"> </w:t>
          </w:r>
          <w:r w:rsidR="00AD343D">
            <w:rPr>
              <w:b/>
              <w:color w:val="FFFFFF"/>
              <w:sz w:val="24"/>
            </w:rPr>
            <w:t>–</w:t>
          </w:r>
          <w:r>
            <w:rPr>
              <w:b/>
              <w:color w:val="FFFFFF"/>
              <w:sz w:val="24"/>
            </w:rPr>
            <w:t xml:space="preserve"> 202</w:t>
          </w:r>
          <w:r w:rsidR="00CE4AD2">
            <w:rPr>
              <w:b/>
              <w:color w:val="FFFFFF"/>
              <w:sz w:val="24"/>
            </w:rPr>
            <w:t>5</w:t>
          </w:r>
          <w:r w:rsidR="001215B8">
            <w:rPr>
              <w:b/>
              <w:color w:val="FFFFFF"/>
              <w:sz w:val="24"/>
            </w:rPr>
            <w:t xml:space="preserve"> TH</w:t>
          </w:r>
        </w:p>
      </w:tc>
      <w:tc>
        <w:tcPr>
          <w:tcW w:w="3639" w:type="pct"/>
          <w:shd w:val="clear" w:color="auto" w:fill="auto"/>
        </w:tcPr>
        <w:p w14:paraId="61249912" w14:textId="3CBB82CC" w:rsidR="00AD343D" w:rsidRPr="00AD343D" w:rsidRDefault="008E00F7" w:rsidP="00067069">
          <w:pPr>
            <w:pStyle w:val="Kopfzeile"/>
            <w:rPr>
              <w:rFonts w:ascii="Myriad Pro" w:hAnsi="Myriad Pro"/>
              <w:color w:val="FFFFFF" w:themeColor="background1"/>
              <w:sz w:val="24"/>
            </w:rPr>
          </w:pPr>
          <w:r>
            <w:rPr>
              <w:rFonts w:ascii="Myriad Pro" w:hAnsi="Myriad Pro"/>
              <w:noProof/>
              <w:color w:val="FFFFFF"/>
              <w:sz w:val="24"/>
            </w:rPr>
            <w:pict w14:anchorId="643333A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47.5pt;height:60.75pt;visibility:visible;mso-wrap-style:square">
                <v:imagedata r:id="rId1" o:title=""/>
              </v:shape>
            </w:pict>
          </w:r>
          <w:r w:rsidR="00CD04DD">
            <w:rPr>
              <w:noProof/>
            </w:rPr>
            <w:t xml:space="preserve"> </w:t>
          </w:r>
          <w:r>
            <w:rPr>
              <w:rFonts w:ascii="Myriad Pro" w:hAnsi="Myriad Pro"/>
              <w:noProof/>
              <w:color w:val="FFFFFF"/>
              <w:sz w:val="24"/>
            </w:rPr>
            <w:pict w14:anchorId="5C64914D">
              <v:shape id="_x0000_i1026" type="#_x0000_t75" style="width:1in;height:69.75pt;visibility:visible;mso-wrap-style:square">
                <v:imagedata r:id="rId2" o:title=""/>
              </v:shape>
            </w:pic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46CE4"/>
    <w:multiLevelType w:val="hybridMultilevel"/>
    <w:tmpl w:val="CE66C3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239706">
    <w:abstractNumId w:val="10"/>
  </w:num>
  <w:num w:numId="2" w16cid:durableId="1768882820">
    <w:abstractNumId w:val="20"/>
  </w:num>
  <w:num w:numId="3" w16cid:durableId="35158390">
    <w:abstractNumId w:val="22"/>
  </w:num>
  <w:num w:numId="4" w16cid:durableId="1582063786">
    <w:abstractNumId w:val="11"/>
  </w:num>
  <w:num w:numId="5" w16cid:durableId="460341628">
    <w:abstractNumId w:val="6"/>
  </w:num>
  <w:num w:numId="6" w16cid:durableId="1363944139">
    <w:abstractNumId w:val="8"/>
  </w:num>
  <w:num w:numId="7" w16cid:durableId="518814105">
    <w:abstractNumId w:val="13"/>
  </w:num>
  <w:num w:numId="8" w16cid:durableId="484511790">
    <w:abstractNumId w:val="12"/>
  </w:num>
  <w:num w:numId="9" w16cid:durableId="1082413873">
    <w:abstractNumId w:val="9"/>
  </w:num>
  <w:num w:numId="10" w16cid:durableId="1074082828">
    <w:abstractNumId w:val="5"/>
  </w:num>
  <w:num w:numId="11" w16cid:durableId="1311444557">
    <w:abstractNumId w:val="21"/>
  </w:num>
  <w:num w:numId="12" w16cid:durableId="1903829581">
    <w:abstractNumId w:val="15"/>
  </w:num>
  <w:num w:numId="13" w16cid:durableId="405805395">
    <w:abstractNumId w:val="16"/>
  </w:num>
  <w:num w:numId="14" w16cid:durableId="1365642997">
    <w:abstractNumId w:val="14"/>
  </w:num>
  <w:num w:numId="15" w16cid:durableId="135924038">
    <w:abstractNumId w:val="17"/>
  </w:num>
  <w:num w:numId="16" w16cid:durableId="1397776156">
    <w:abstractNumId w:val="18"/>
  </w:num>
  <w:num w:numId="17" w16cid:durableId="1943148140">
    <w:abstractNumId w:val="19"/>
  </w:num>
  <w:num w:numId="18" w16cid:durableId="1515145064">
    <w:abstractNumId w:val="4"/>
  </w:num>
  <w:num w:numId="19" w16cid:durableId="456031427">
    <w:abstractNumId w:val="3"/>
  </w:num>
  <w:num w:numId="20" w16cid:durableId="1288777140">
    <w:abstractNumId w:val="2"/>
  </w:num>
  <w:num w:numId="21" w16cid:durableId="415978180">
    <w:abstractNumId w:val="1"/>
  </w:num>
  <w:num w:numId="22" w16cid:durableId="116141555">
    <w:abstractNumId w:val="0"/>
  </w:num>
  <w:num w:numId="23" w16cid:durableId="13581200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B50CC"/>
    <w:rsid w:val="000C6A2D"/>
    <w:rsid w:val="001215B8"/>
    <w:rsid w:val="0015409B"/>
    <w:rsid w:val="001849BE"/>
    <w:rsid w:val="001B429B"/>
    <w:rsid w:val="00205D0C"/>
    <w:rsid w:val="0027096C"/>
    <w:rsid w:val="002766CF"/>
    <w:rsid w:val="0028515F"/>
    <w:rsid w:val="002914CF"/>
    <w:rsid w:val="002A5853"/>
    <w:rsid w:val="002A5D13"/>
    <w:rsid w:val="002B029B"/>
    <w:rsid w:val="002B4419"/>
    <w:rsid w:val="002D45E4"/>
    <w:rsid w:val="002E4378"/>
    <w:rsid w:val="002F7B4F"/>
    <w:rsid w:val="003676E3"/>
    <w:rsid w:val="00380EF0"/>
    <w:rsid w:val="00393EE5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D0307"/>
    <w:rsid w:val="005D5069"/>
    <w:rsid w:val="005E1850"/>
    <w:rsid w:val="005F2944"/>
    <w:rsid w:val="00614D0A"/>
    <w:rsid w:val="00634BB8"/>
    <w:rsid w:val="00653E72"/>
    <w:rsid w:val="00661981"/>
    <w:rsid w:val="006A5CFE"/>
    <w:rsid w:val="006C35DC"/>
    <w:rsid w:val="006E18EF"/>
    <w:rsid w:val="006F066B"/>
    <w:rsid w:val="00726F02"/>
    <w:rsid w:val="00782522"/>
    <w:rsid w:val="007A7CA7"/>
    <w:rsid w:val="007B0290"/>
    <w:rsid w:val="007C0AE5"/>
    <w:rsid w:val="007E1A2E"/>
    <w:rsid w:val="007E4FB4"/>
    <w:rsid w:val="00841FA8"/>
    <w:rsid w:val="00852BFB"/>
    <w:rsid w:val="0085519C"/>
    <w:rsid w:val="008633AC"/>
    <w:rsid w:val="00864D2D"/>
    <w:rsid w:val="00887070"/>
    <w:rsid w:val="008B1F83"/>
    <w:rsid w:val="008E00F7"/>
    <w:rsid w:val="008E62B1"/>
    <w:rsid w:val="00937B0B"/>
    <w:rsid w:val="009433D9"/>
    <w:rsid w:val="00953BC9"/>
    <w:rsid w:val="00983536"/>
    <w:rsid w:val="009A62FA"/>
    <w:rsid w:val="009B721F"/>
    <w:rsid w:val="009C2E59"/>
    <w:rsid w:val="00A06C64"/>
    <w:rsid w:val="00A8481A"/>
    <w:rsid w:val="00AA4A0E"/>
    <w:rsid w:val="00AC136E"/>
    <w:rsid w:val="00AD343D"/>
    <w:rsid w:val="00B01FFE"/>
    <w:rsid w:val="00B31A35"/>
    <w:rsid w:val="00B707AF"/>
    <w:rsid w:val="00B87D52"/>
    <w:rsid w:val="00BD71E9"/>
    <w:rsid w:val="00C135D1"/>
    <w:rsid w:val="00C310AF"/>
    <w:rsid w:val="00C73E1A"/>
    <w:rsid w:val="00CB2425"/>
    <w:rsid w:val="00CC38C8"/>
    <w:rsid w:val="00CD04DD"/>
    <w:rsid w:val="00CE4AD2"/>
    <w:rsid w:val="00D86187"/>
    <w:rsid w:val="00DB32C7"/>
    <w:rsid w:val="00DD36A5"/>
    <w:rsid w:val="00E1355A"/>
    <w:rsid w:val="00E2265E"/>
    <w:rsid w:val="00E247F7"/>
    <w:rsid w:val="00EB5C84"/>
    <w:rsid w:val="00ED3984"/>
    <w:rsid w:val="00EF6ADE"/>
    <w:rsid w:val="00F20663"/>
    <w:rsid w:val="00F224C8"/>
    <w:rsid w:val="00F32030"/>
    <w:rsid w:val="00FA19D7"/>
    <w:rsid w:val="00FB3A5A"/>
    <w:rsid w:val="00FC278E"/>
    <w:rsid w:val="00FD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1215B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rspann">
    <w:name w:val="Vorspann"/>
    <w:basedOn w:val="Standard"/>
    <w:qFormat/>
    <w:rsid w:val="006C35DC"/>
    <w:pPr>
      <w:spacing w:after="0" w:line="240" w:lineRule="auto"/>
    </w:pPr>
    <w:rPr>
      <w:rFonts w:cs="Calibri"/>
      <w:b/>
      <w:bCs/>
      <w:sz w:val="20"/>
      <w:szCs w:val="20"/>
    </w:rPr>
  </w:style>
  <w:style w:type="paragraph" w:customStyle="1" w:styleId="Flietext">
    <w:name w:val="Fließtext"/>
    <w:basedOn w:val="Standard"/>
    <w:qFormat/>
    <w:rsid w:val="00CB2425"/>
    <w:pPr>
      <w:spacing w:after="0" w:line="240" w:lineRule="auto"/>
    </w:pPr>
    <w:rPr>
      <w:rFonts w:cs="Calibri"/>
      <w:sz w:val="20"/>
      <w:szCs w:val="20"/>
    </w:rPr>
  </w:style>
  <w:style w:type="paragraph" w:customStyle="1" w:styleId="Subheadwei">
    <w:name w:val="Subhead weiß"/>
    <w:basedOn w:val="Standard"/>
    <w:qFormat/>
    <w:rsid w:val="00CB2425"/>
    <w:pPr>
      <w:widowControl w:val="0"/>
      <w:autoSpaceDE w:val="0"/>
      <w:autoSpaceDN w:val="0"/>
      <w:spacing w:after="80" w:line="216" w:lineRule="auto"/>
    </w:pPr>
    <w:rPr>
      <w:rFonts w:cs="Calibri"/>
      <w:b/>
      <w:bCs/>
      <w:i/>
      <w:iCs/>
      <w:color w:val="FFFFFF"/>
      <w:sz w:val="24"/>
      <w:szCs w:val="24"/>
      <w:lang w:val="en-US"/>
    </w:rPr>
  </w:style>
  <w:style w:type="paragraph" w:customStyle="1" w:styleId="TabelleSubhead">
    <w:name w:val="Tabelle Subhead"/>
    <w:basedOn w:val="Flietext"/>
    <w:qFormat/>
    <w:rsid w:val="008E00F7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Flietext8">
    <w:name w:val="Fließtext 8"/>
    <w:aliases w:val="5"/>
    <w:basedOn w:val="Flietext"/>
    <w:qFormat/>
    <w:rsid w:val="008E00F7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TabelleHead">
    <w:name w:val="Tabelle Head"/>
    <w:basedOn w:val="Standard"/>
    <w:qFormat/>
    <w:rsid w:val="008E00F7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2025-05-08T15:42:00Z</dcterms:created>
  <dcterms:modified xsi:type="dcterms:W3CDTF">2025-05-08T15:42:00Z</dcterms:modified>
</cp:coreProperties>
</file>