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6CDAA" w14:textId="0173D033" w:rsidR="00AA31C1" w:rsidRPr="00AA31C1" w:rsidRDefault="007A7CA7" w:rsidP="00AA31C1">
      <w:pPr>
        <w:tabs>
          <w:tab w:val="left" w:pos="5280"/>
        </w:tabs>
        <w:rPr>
          <w:b/>
          <w:noProof/>
          <w:lang w:eastAsia="de-DE"/>
        </w:rPr>
      </w:pPr>
      <w:r>
        <w:rPr>
          <w:b/>
          <w:noProof/>
          <w:lang w:eastAsia="de-DE"/>
        </w:rPr>
        <w:tab/>
      </w:r>
    </w:p>
    <w:p w14:paraId="550824EB" w14:textId="77777777" w:rsidR="00AA31C1" w:rsidRPr="00AA31C1" w:rsidRDefault="00AA31C1" w:rsidP="00AA31C1">
      <w:pPr>
        <w:tabs>
          <w:tab w:val="left" w:pos="898"/>
          <w:tab w:val="left" w:pos="2430"/>
        </w:tabs>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5"/>
      </w:tblGrid>
      <w:tr w:rsidR="00AA31C1" w:rsidRPr="00AA31C1" w14:paraId="1F244BF5" w14:textId="77777777" w:rsidTr="00AA31C1">
        <w:tblPrEx>
          <w:tblCellMar>
            <w:top w:w="0" w:type="dxa"/>
            <w:bottom w:w="0" w:type="dxa"/>
          </w:tblCellMar>
        </w:tblPrEx>
        <w:trPr>
          <w:jc w:val="center"/>
        </w:trPr>
        <w:tc>
          <w:tcPr>
            <w:tcW w:w="10485" w:type="dxa"/>
            <w:shd w:val="clear" w:color="auto" w:fill="686383"/>
          </w:tcPr>
          <w:p w14:paraId="0CB1E17E" w14:textId="0785307D" w:rsidR="00AA31C1" w:rsidRPr="00AA31C1" w:rsidRDefault="00AA31C1" w:rsidP="00AA31C1">
            <w:pPr>
              <w:spacing w:before="120" w:after="120"/>
              <w:rPr>
                <w:rFonts w:ascii="Arial" w:hAnsi="Arial" w:cs="Arial"/>
                <w:b/>
                <w:color w:val="FFFFFF"/>
                <w:sz w:val="28"/>
                <w:szCs w:val="28"/>
              </w:rPr>
            </w:pPr>
            <w:r w:rsidRPr="00AA31C1">
              <w:rPr>
                <w:rFonts w:ascii="Arial" w:hAnsi="Arial" w:cs="Arial"/>
                <w:b/>
                <w:color w:val="FFFFFF"/>
                <w:sz w:val="28"/>
                <w:szCs w:val="28"/>
              </w:rPr>
              <w:t>Übersicht: Schmerzmittel mit ihren Nebenwirkungen und Behandlungsmöglichkeiten</w:t>
            </w:r>
          </w:p>
        </w:tc>
      </w:tr>
      <w:tr w:rsidR="00AA31C1" w:rsidRPr="00AA31C1" w14:paraId="07DA85D2" w14:textId="77777777" w:rsidTr="00AA31C1">
        <w:tblPrEx>
          <w:tblCellMar>
            <w:top w:w="0" w:type="dxa"/>
            <w:bottom w:w="0" w:type="dxa"/>
          </w:tblCellMar>
        </w:tblPrEx>
        <w:trPr>
          <w:jc w:val="center"/>
        </w:trPr>
        <w:tc>
          <w:tcPr>
            <w:tcW w:w="10485" w:type="dxa"/>
            <w:shd w:val="clear" w:color="auto" w:fill="DCF5A5"/>
          </w:tcPr>
          <w:p w14:paraId="08B7A250" w14:textId="051F0A52" w:rsidR="00AA31C1" w:rsidRPr="00AA31C1" w:rsidRDefault="00AA31C1" w:rsidP="00AA31C1">
            <w:pPr>
              <w:spacing w:before="120" w:after="120"/>
              <w:rPr>
                <w:rFonts w:ascii="Arial" w:hAnsi="Arial" w:cs="Arial"/>
                <w:b/>
                <w:color w:val="000000" w:themeColor="text1"/>
                <w:sz w:val="24"/>
                <w:szCs w:val="24"/>
              </w:rPr>
            </w:pPr>
            <w:r w:rsidRPr="00AA31C1">
              <w:rPr>
                <w:rFonts w:ascii="Arial" w:hAnsi="Arial" w:cs="Arial"/>
                <w:b/>
                <w:color w:val="000000" w:themeColor="text1"/>
                <w:sz w:val="24"/>
                <w:szCs w:val="24"/>
              </w:rPr>
              <w:t xml:space="preserve">Leichte Schmerzmittel </w:t>
            </w:r>
          </w:p>
        </w:tc>
      </w:tr>
      <w:tr w:rsidR="00AA31C1" w:rsidRPr="00AA31C1" w14:paraId="15AE5726" w14:textId="77777777" w:rsidTr="00AA31C1">
        <w:tblPrEx>
          <w:tblCellMar>
            <w:top w:w="0" w:type="dxa"/>
            <w:bottom w:w="0" w:type="dxa"/>
          </w:tblCellMar>
        </w:tblPrEx>
        <w:trPr>
          <w:trHeight w:val="2173"/>
          <w:jc w:val="center"/>
        </w:trPr>
        <w:tc>
          <w:tcPr>
            <w:tcW w:w="10485" w:type="dxa"/>
          </w:tcPr>
          <w:p w14:paraId="1658E4A0" w14:textId="77777777" w:rsidR="00AA31C1" w:rsidRPr="00AA31C1" w:rsidRDefault="00AA31C1" w:rsidP="00AA31C1">
            <w:pPr>
              <w:spacing w:before="120" w:after="120"/>
              <w:rPr>
                <w:rFonts w:ascii="Arial" w:hAnsi="Arial" w:cs="Arial"/>
                <w:bCs/>
                <w:color w:val="000000" w:themeColor="text1"/>
                <w:sz w:val="24"/>
                <w:szCs w:val="24"/>
              </w:rPr>
            </w:pPr>
            <w:r w:rsidRPr="00AA31C1">
              <w:rPr>
                <w:rFonts w:ascii="Arial" w:hAnsi="Arial" w:cs="Arial"/>
                <w:bCs/>
                <w:color w:val="000000" w:themeColor="text1"/>
                <w:sz w:val="24"/>
                <w:szCs w:val="24"/>
              </w:rPr>
              <w:t xml:space="preserve">Die hier aufgeführten Medikamente sind eher für die akute Gabe geeignet, hingegen nicht für eine Dauermedikation. </w:t>
            </w:r>
          </w:p>
          <w:p w14:paraId="6B4788DE" w14:textId="77777777" w:rsidR="00AA31C1" w:rsidRPr="00AA31C1" w:rsidRDefault="00AA31C1" w:rsidP="00AA31C1">
            <w:pPr>
              <w:spacing w:before="120" w:after="120"/>
              <w:rPr>
                <w:rFonts w:ascii="Arial" w:hAnsi="Arial" w:cs="Arial"/>
                <w:bCs/>
                <w:color w:val="000000" w:themeColor="text1"/>
                <w:sz w:val="24"/>
                <w:szCs w:val="24"/>
              </w:rPr>
            </w:pPr>
            <w:r w:rsidRPr="00AA31C1">
              <w:rPr>
                <w:rFonts w:ascii="Arial" w:hAnsi="Arial" w:cs="Arial"/>
                <w:b/>
                <w:color w:val="000000" w:themeColor="text1"/>
                <w:sz w:val="24"/>
                <w:szCs w:val="24"/>
              </w:rPr>
              <w:t>Paracetamol:</w:t>
            </w:r>
            <w:r w:rsidRPr="00AA31C1">
              <w:rPr>
                <w:rFonts w:ascii="Arial" w:hAnsi="Arial" w:cs="Arial"/>
                <w:bCs/>
                <w:color w:val="000000" w:themeColor="text1"/>
                <w:sz w:val="24"/>
                <w:szCs w:val="24"/>
              </w:rPr>
              <w:t xml:space="preserve"> Paracetamol ist ein eher schwaches Schmerzmittel mit wenigen Nebenwirkungen. Die übliche Dosis liegt bei zirka 3–4 g pro Tag. Diese Dosis ist nur geringfügig steigerbar, denn bei mehr als 6 g pro Tag besteht die Gefahr des Absterbens von Leberzellen und bei mehr als 10 g pro Tag die Gefahr eines möglicherweise tödlichen Leberversagens. </w:t>
            </w:r>
          </w:p>
          <w:p w14:paraId="325A9613" w14:textId="77777777" w:rsidR="00AA31C1" w:rsidRPr="00AA31C1" w:rsidRDefault="00AA31C1" w:rsidP="00AA31C1">
            <w:pPr>
              <w:spacing w:before="120" w:after="120"/>
              <w:rPr>
                <w:rFonts w:ascii="Arial" w:hAnsi="Arial" w:cs="Arial"/>
                <w:bCs/>
                <w:color w:val="000000" w:themeColor="text1"/>
                <w:sz w:val="24"/>
                <w:szCs w:val="24"/>
              </w:rPr>
            </w:pPr>
            <w:proofErr w:type="spellStart"/>
            <w:r w:rsidRPr="00AA31C1">
              <w:rPr>
                <w:rFonts w:ascii="Arial" w:hAnsi="Arial" w:cs="Arial"/>
                <w:b/>
                <w:color w:val="000000" w:themeColor="text1"/>
                <w:sz w:val="24"/>
                <w:szCs w:val="24"/>
              </w:rPr>
              <w:t>Novalgin</w:t>
            </w:r>
            <w:proofErr w:type="spellEnd"/>
            <w:r w:rsidRPr="00AA31C1">
              <w:rPr>
                <w:rFonts w:ascii="Arial" w:hAnsi="Arial" w:cs="Arial"/>
                <w:b/>
                <w:color w:val="000000" w:themeColor="text1"/>
                <w:sz w:val="24"/>
                <w:szCs w:val="24"/>
              </w:rPr>
              <w:t xml:space="preserve"> (Metamizol):</w:t>
            </w:r>
            <w:r w:rsidRPr="00AA31C1">
              <w:rPr>
                <w:rFonts w:ascii="Arial" w:hAnsi="Arial" w:cs="Arial"/>
                <w:bCs/>
                <w:color w:val="000000" w:themeColor="text1"/>
                <w:sz w:val="24"/>
                <w:szCs w:val="24"/>
              </w:rPr>
              <w:t xml:space="preserve"> Gemäß dem WHO-Stufenschema ist Metamizol das stärkste Schmerzmittel auf Stufe 1. Es wirkt auch gut fiebersenkend, aber nicht entzündungshemmend. Zusätzlich besitzt es eine krampflösende Wirkung, was bei Eingeweideschmerzen vorteilhaft ist. Die Wirkdauer ist mit zirka 4 Stunden kurz, sodass das Präparat 6-mal täglich gege</w:t>
            </w:r>
            <w:r w:rsidRPr="00AA31C1">
              <w:rPr>
                <w:rFonts w:ascii="Arial" w:hAnsi="Arial" w:cs="Arial"/>
                <w:bCs/>
                <w:color w:val="000000" w:themeColor="text1"/>
                <w:sz w:val="24"/>
                <w:szCs w:val="24"/>
              </w:rPr>
              <w:softHyphen/>
              <w:t xml:space="preserve">ben werden muss. Wegen Blutbildnebenwirkungen (Abfall bestimmter weißer Blutkörperchen) wurde das Medikament in einigen Ländern aus dem Verkehr gezogen, z. B. in Skandinavien und den USA. Tatsächlich sind diese Nebenwirkungen aber selten und nach Absetzen des Medikaments wieder rückläufig. Warnsymptome für diese Nebenwirkungen können eine Mandelentzündung oder eine Lungenentzündung sein. Viele Patienten schwitzen unter diesem Medikament stark. Vor allem bei intravenöser Gabe kommt es mitunter zu Blutdruckabfällen. </w:t>
            </w:r>
          </w:p>
          <w:p w14:paraId="583C2042" w14:textId="77777777" w:rsidR="00AA31C1" w:rsidRPr="00AA31C1" w:rsidRDefault="00AA31C1" w:rsidP="00AA31C1">
            <w:pPr>
              <w:spacing w:before="120" w:after="120"/>
              <w:rPr>
                <w:rFonts w:ascii="Arial" w:hAnsi="Arial" w:cs="Arial"/>
                <w:bCs/>
                <w:color w:val="000000" w:themeColor="text1"/>
                <w:sz w:val="24"/>
                <w:szCs w:val="24"/>
              </w:rPr>
            </w:pPr>
            <w:r w:rsidRPr="00AA31C1">
              <w:rPr>
                <w:rFonts w:ascii="Arial" w:hAnsi="Arial" w:cs="Arial"/>
                <w:b/>
                <w:color w:val="000000" w:themeColor="text1"/>
                <w:sz w:val="24"/>
                <w:szCs w:val="24"/>
              </w:rPr>
              <w:t xml:space="preserve">NSAR (z. B. Ibuprofen oder </w:t>
            </w:r>
            <w:proofErr w:type="spellStart"/>
            <w:r w:rsidRPr="00AA31C1">
              <w:rPr>
                <w:rFonts w:ascii="Arial" w:hAnsi="Arial" w:cs="Arial"/>
                <w:b/>
                <w:color w:val="000000" w:themeColor="text1"/>
                <w:sz w:val="24"/>
                <w:szCs w:val="24"/>
              </w:rPr>
              <w:t>Diclofenac</w:t>
            </w:r>
            <w:proofErr w:type="spellEnd"/>
            <w:r w:rsidRPr="00AA31C1">
              <w:rPr>
                <w:rFonts w:ascii="Arial" w:hAnsi="Arial" w:cs="Arial"/>
                <w:b/>
                <w:color w:val="000000" w:themeColor="text1"/>
                <w:sz w:val="24"/>
                <w:szCs w:val="24"/>
              </w:rPr>
              <w:t>):</w:t>
            </w:r>
            <w:r w:rsidRPr="00AA31C1">
              <w:rPr>
                <w:rFonts w:ascii="Arial" w:hAnsi="Arial" w:cs="Arial"/>
                <w:bCs/>
                <w:color w:val="000000" w:themeColor="text1"/>
                <w:sz w:val="24"/>
                <w:szCs w:val="24"/>
              </w:rPr>
              <w:t xml:space="preserve"> Diese Medikamentengruppe hemmt ein Schmerz und Entzündung vermittelndes System, das </w:t>
            </w:r>
            <w:proofErr w:type="spellStart"/>
            <w:r w:rsidRPr="00AA31C1">
              <w:rPr>
                <w:rFonts w:ascii="Arial" w:hAnsi="Arial" w:cs="Arial"/>
                <w:bCs/>
                <w:color w:val="000000" w:themeColor="text1"/>
                <w:sz w:val="24"/>
                <w:szCs w:val="24"/>
              </w:rPr>
              <w:t>Prostaglandinsystem</w:t>
            </w:r>
            <w:proofErr w:type="spellEnd"/>
            <w:r w:rsidRPr="00AA31C1">
              <w:rPr>
                <w:rFonts w:ascii="Arial" w:hAnsi="Arial" w:cs="Arial"/>
                <w:bCs/>
                <w:color w:val="000000" w:themeColor="text1"/>
                <w:sz w:val="24"/>
                <w:szCs w:val="24"/>
              </w:rPr>
              <w:t xml:space="preserve">, über das Enzym </w:t>
            </w:r>
            <w:proofErr w:type="spellStart"/>
            <w:r w:rsidRPr="00AA31C1">
              <w:rPr>
                <w:rFonts w:ascii="Arial" w:hAnsi="Arial" w:cs="Arial"/>
                <w:bCs/>
                <w:color w:val="000000" w:themeColor="text1"/>
                <w:sz w:val="24"/>
                <w:szCs w:val="24"/>
              </w:rPr>
              <w:t>Zyklooxygenase</w:t>
            </w:r>
            <w:proofErr w:type="spellEnd"/>
            <w:r w:rsidRPr="00AA31C1">
              <w:rPr>
                <w:rFonts w:ascii="Arial" w:hAnsi="Arial" w:cs="Arial"/>
                <w:bCs/>
                <w:color w:val="000000" w:themeColor="text1"/>
                <w:sz w:val="24"/>
                <w:szCs w:val="24"/>
              </w:rPr>
              <w:t>. Beträchtlich ist die Rate von Nebenwirkungen am Ma</w:t>
            </w:r>
            <w:r w:rsidRPr="00AA31C1">
              <w:rPr>
                <w:rFonts w:ascii="Arial" w:hAnsi="Arial" w:cs="Arial"/>
                <w:bCs/>
                <w:color w:val="000000" w:themeColor="text1"/>
                <w:sz w:val="24"/>
                <w:szCs w:val="24"/>
              </w:rPr>
              <w:softHyphen/>
              <w:t xml:space="preserve">gen, weshalb oft gleichzeitig magenschützende Medikamente verordnet werden müssen. Vor allem bei Anwendung über mehr als ein halbes Jahr ist das Risiko von Nierenschäden deutlich erhöht. </w:t>
            </w:r>
          </w:p>
        </w:tc>
      </w:tr>
      <w:tr w:rsidR="00AA31C1" w:rsidRPr="00AA31C1" w14:paraId="5473B2B4" w14:textId="77777777" w:rsidTr="00AA31C1">
        <w:tblPrEx>
          <w:tblCellMar>
            <w:top w:w="0" w:type="dxa"/>
            <w:bottom w:w="0" w:type="dxa"/>
          </w:tblCellMar>
        </w:tblPrEx>
        <w:trPr>
          <w:trHeight w:val="139"/>
          <w:jc w:val="center"/>
        </w:trPr>
        <w:tc>
          <w:tcPr>
            <w:tcW w:w="10485" w:type="dxa"/>
            <w:shd w:val="clear" w:color="auto" w:fill="DCF5A5"/>
          </w:tcPr>
          <w:p w14:paraId="5C52181B" w14:textId="77777777" w:rsidR="00AA31C1" w:rsidRPr="00AA31C1" w:rsidRDefault="00AA31C1" w:rsidP="00AA31C1">
            <w:pPr>
              <w:spacing w:before="120" w:after="120"/>
              <w:rPr>
                <w:rFonts w:ascii="Arial" w:hAnsi="Arial" w:cs="Arial"/>
                <w:b/>
                <w:color w:val="000000" w:themeColor="text1"/>
                <w:sz w:val="24"/>
                <w:szCs w:val="24"/>
              </w:rPr>
            </w:pPr>
            <w:r w:rsidRPr="00AA31C1">
              <w:rPr>
                <w:rFonts w:ascii="Arial" w:hAnsi="Arial" w:cs="Arial"/>
                <w:b/>
                <w:color w:val="000000" w:themeColor="text1"/>
                <w:sz w:val="24"/>
                <w:szCs w:val="24"/>
              </w:rPr>
              <w:t xml:space="preserve">Starke Schmerzmittel – Opioide </w:t>
            </w:r>
          </w:p>
        </w:tc>
      </w:tr>
      <w:tr w:rsidR="00AA31C1" w:rsidRPr="00AA31C1" w14:paraId="5E8820D5" w14:textId="77777777" w:rsidTr="00AA31C1">
        <w:tblPrEx>
          <w:tblCellMar>
            <w:top w:w="0" w:type="dxa"/>
            <w:bottom w:w="0" w:type="dxa"/>
          </w:tblCellMar>
        </w:tblPrEx>
        <w:trPr>
          <w:trHeight w:val="2282"/>
          <w:jc w:val="center"/>
        </w:trPr>
        <w:tc>
          <w:tcPr>
            <w:tcW w:w="10485" w:type="dxa"/>
          </w:tcPr>
          <w:p w14:paraId="759B76A2" w14:textId="77777777" w:rsidR="00AA31C1" w:rsidRPr="00AA31C1" w:rsidRDefault="00AA31C1" w:rsidP="00AA31C1">
            <w:pPr>
              <w:spacing w:before="120" w:after="120"/>
              <w:rPr>
                <w:rFonts w:ascii="Arial" w:hAnsi="Arial" w:cs="Arial"/>
                <w:bCs/>
                <w:color w:val="000000" w:themeColor="text1"/>
                <w:sz w:val="24"/>
                <w:szCs w:val="24"/>
              </w:rPr>
            </w:pPr>
            <w:r w:rsidRPr="00AA31C1">
              <w:rPr>
                <w:rFonts w:ascii="Arial" w:hAnsi="Arial" w:cs="Arial"/>
                <w:bCs/>
                <w:color w:val="000000" w:themeColor="text1"/>
                <w:sz w:val="24"/>
                <w:szCs w:val="24"/>
              </w:rPr>
              <w:t xml:space="preserve">Im Gegensatz zu den eher leichten Schmerzmitteln haben die Opioide ein geringes Nebenwirkungspotenzial, da sie nicht organschädigend wirken. Die meisten der hier aufgeführten Nebenwirkungen, außer Obstipation, lassen innerhalb der ersten 1–2 Wochen deutlich nach. </w:t>
            </w:r>
          </w:p>
          <w:p w14:paraId="68231D7C" w14:textId="77777777" w:rsidR="00AA31C1" w:rsidRPr="00AA31C1" w:rsidRDefault="00AA31C1" w:rsidP="00AA31C1">
            <w:pPr>
              <w:spacing w:before="120" w:after="120"/>
              <w:rPr>
                <w:rFonts w:ascii="Arial" w:hAnsi="Arial" w:cs="Arial"/>
                <w:bCs/>
                <w:color w:val="000000" w:themeColor="text1"/>
                <w:sz w:val="24"/>
                <w:szCs w:val="24"/>
              </w:rPr>
            </w:pPr>
            <w:r w:rsidRPr="00AA31C1">
              <w:rPr>
                <w:rFonts w:ascii="Arial" w:hAnsi="Arial" w:cs="Arial"/>
                <w:b/>
                <w:color w:val="000000" w:themeColor="text1"/>
                <w:sz w:val="24"/>
                <w:szCs w:val="24"/>
              </w:rPr>
              <w:t>Obstipation:</w:t>
            </w:r>
            <w:r w:rsidRPr="00AA31C1">
              <w:rPr>
                <w:rFonts w:ascii="Arial" w:hAnsi="Arial" w:cs="Arial"/>
                <w:bCs/>
                <w:color w:val="000000" w:themeColor="text1"/>
                <w:sz w:val="24"/>
                <w:szCs w:val="24"/>
              </w:rPr>
              <w:t xml:space="preserve"> Alle Opiate führen zu einer Verstopfung. Daher sind entsprechende Maßnahmen so lange erforderlich, wie diese Präparate eingenommen werden. </w:t>
            </w:r>
          </w:p>
          <w:p w14:paraId="262F08F9" w14:textId="77777777" w:rsidR="00AA31C1" w:rsidRPr="00AA31C1" w:rsidRDefault="00AA31C1" w:rsidP="00AA31C1">
            <w:pPr>
              <w:spacing w:before="120" w:after="120"/>
              <w:rPr>
                <w:rFonts w:ascii="Arial" w:hAnsi="Arial" w:cs="Arial"/>
                <w:bCs/>
                <w:color w:val="000000" w:themeColor="text1"/>
                <w:sz w:val="24"/>
                <w:szCs w:val="24"/>
              </w:rPr>
            </w:pPr>
            <w:r w:rsidRPr="00AA31C1">
              <w:rPr>
                <w:rFonts w:ascii="Arial" w:hAnsi="Arial" w:cs="Arial"/>
                <w:b/>
                <w:color w:val="000000" w:themeColor="text1"/>
                <w:sz w:val="24"/>
                <w:szCs w:val="24"/>
              </w:rPr>
              <w:t>Nicht-medikamentöse Maßnahmen:</w:t>
            </w:r>
            <w:r w:rsidRPr="00AA31C1">
              <w:rPr>
                <w:rFonts w:ascii="Arial" w:hAnsi="Arial" w:cs="Arial"/>
                <w:bCs/>
                <w:color w:val="000000" w:themeColor="text1"/>
                <w:sz w:val="24"/>
                <w:szCs w:val="24"/>
              </w:rPr>
              <w:t xml:space="preserve"> Mindestens 2 l Flüssigkeit am Tag, ballaststoffreiche Nahrung und viel Bewegung wären hier sinnvoll. Im Rahmen der Palliative Care machen diese Vorgaben hingegen keinen Sinn. Stattdessen könnten </w:t>
            </w:r>
            <w:proofErr w:type="spellStart"/>
            <w:r w:rsidRPr="00AA31C1">
              <w:rPr>
                <w:rFonts w:ascii="Arial" w:hAnsi="Arial" w:cs="Arial"/>
                <w:bCs/>
                <w:color w:val="000000" w:themeColor="text1"/>
                <w:sz w:val="24"/>
                <w:szCs w:val="24"/>
              </w:rPr>
              <w:t>Colonmassagen</w:t>
            </w:r>
            <w:proofErr w:type="spellEnd"/>
            <w:r w:rsidRPr="00AA31C1">
              <w:rPr>
                <w:rFonts w:ascii="Arial" w:hAnsi="Arial" w:cs="Arial"/>
                <w:bCs/>
                <w:color w:val="000000" w:themeColor="text1"/>
                <w:sz w:val="24"/>
                <w:szCs w:val="24"/>
              </w:rPr>
              <w:t xml:space="preserve"> oder sanfte Einläufe, z. B. mit Milch und Honig, zum Einsatz kommen. </w:t>
            </w:r>
          </w:p>
          <w:p w14:paraId="7577F3A6" w14:textId="77777777" w:rsidR="00AA31C1" w:rsidRPr="00AA31C1" w:rsidRDefault="00AA31C1" w:rsidP="00AA31C1">
            <w:pPr>
              <w:spacing w:before="120" w:after="120"/>
              <w:rPr>
                <w:rFonts w:ascii="Arial" w:hAnsi="Arial" w:cs="Arial"/>
                <w:bCs/>
                <w:color w:val="000000" w:themeColor="text1"/>
                <w:sz w:val="24"/>
                <w:szCs w:val="24"/>
              </w:rPr>
            </w:pPr>
            <w:r w:rsidRPr="00AA31C1">
              <w:rPr>
                <w:rFonts w:ascii="Arial" w:hAnsi="Arial" w:cs="Arial"/>
                <w:bCs/>
                <w:color w:val="000000" w:themeColor="text1"/>
                <w:sz w:val="24"/>
                <w:szCs w:val="24"/>
              </w:rPr>
              <w:t xml:space="preserve">Medikamentöse Maßnahmen: Den Teams steht eine Reihe sogenannter „Laxanzien“ (Abführmittel) zur Verfügung, z. B. Movicol. </w:t>
            </w:r>
          </w:p>
          <w:p w14:paraId="15CB142E" w14:textId="77777777" w:rsidR="00AA31C1" w:rsidRPr="00AA31C1" w:rsidRDefault="00AA31C1" w:rsidP="00AA31C1">
            <w:pPr>
              <w:spacing w:before="120" w:after="120"/>
              <w:rPr>
                <w:rFonts w:ascii="Arial" w:hAnsi="Arial" w:cs="Arial"/>
                <w:b/>
                <w:color w:val="000000" w:themeColor="text1"/>
                <w:sz w:val="24"/>
                <w:szCs w:val="24"/>
              </w:rPr>
            </w:pPr>
            <w:r w:rsidRPr="00AA31C1">
              <w:rPr>
                <w:rFonts w:ascii="Arial" w:hAnsi="Arial" w:cs="Arial"/>
                <w:b/>
                <w:color w:val="000000" w:themeColor="text1"/>
                <w:sz w:val="24"/>
                <w:szCs w:val="24"/>
              </w:rPr>
              <w:lastRenderedPageBreak/>
              <w:t xml:space="preserve">Übelkeit </w:t>
            </w:r>
          </w:p>
          <w:p w14:paraId="2AD1D957" w14:textId="77777777" w:rsidR="00AA31C1" w:rsidRPr="00AA31C1" w:rsidRDefault="00AA31C1" w:rsidP="00AA31C1">
            <w:pPr>
              <w:spacing w:before="120" w:after="120"/>
              <w:rPr>
                <w:rFonts w:ascii="Arial" w:hAnsi="Arial" w:cs="Arial"/>
                <w:bCs/>
                <w:color w:val="000000" w:themeColor="text1"/>
                <w:sz w:val="24"/>
                <w:szCs w:val="24"/>
              </w:rPr>
            </w:pPr>
            <w:r w:rsidRPr="00AA31C1">
              <w:rPr>
                <w:rFonts w:ascii="Arial" w:hAnsi="Arial" w:cs="Arial"/>
                <w:b/>
                <w:color w:val="000000" w:themeColor="text1"/>
                <w:sz w:val="24"/>
                <w:szCs w:val="24"/>
              </w:rPr>
              <w:t>Nicht-medikamentöse Maßnahmen:</w:t>
            </w:r>
            <w:r w:rsidRPr="00AA31C1">
              <w:rPr>
                <w:rFonts w:ascii="Arial" w:hAnsi="Arial" w:cs="Arial"/>
                <w:bCs/>
                <w:color w:val="000000" w:themeColor="text1"/>
                <w:sz w:val="24"/>
                <w:szCs w:val="24"/>
              </w:rPr>
              <w:t xml:space="preserve"> Wenn Nahrung angeboten wird, dann in kleinen, appetitlichen Portionen. Zudem haben sich Salbeitee oder schwarzer Tee bewährt. Auch das Lutschen von Eiswürfeln lindert Übelkeit. </w:t>
            </w:r>
          </w:p>
          <w:p w14:paraId="4F8BB406" w14:textId="77777777" w:rsidR="00AA31C1" w:rsidRPr="00AA31C1" w:rsidRDefault="00AA31C1" w:rsidP="00AA31C1">
            <w:pPr>
              <w:spacing w:before="120" w:after="120"/>
              <w:rPr>
                <w:rFonts w:ascii="Arial" w:hAnsi="Arial" w:cs="Arial"/>
                <w:bCs/>
                <w:color w:val="000000" w:themeColor="text1"/>
                <w:sz w:val="24"/>
                <w:szCs w:val="24"/>
              </w:rPr>
            </w:pPr>
            <w:r w:rsidRPr="00AA31C1">
              <w:rPr>
                <w:rFonts w:ascii="Arial" w:hAnsi="Arial" w:cs="Arial"/>
                <w:b/>
                <w:color w:val="000000" w:themeColor="text1"/>
                <w:sz w:val="24"/>
                <w:szCs w:val="24"/>
              </w:rPr>
              <w:t>Medikamentöse Maßnahmen:</w:t>
            </w:r>
            <w:r w:rsidRPr="00AA31C1">
              <w:rPr>
                <w:rFonts w:ascii="Arial" w:hAnsi="Arial" w:cs="Arial"/>
                <w:bCs/>
                <w:color w:val="000000" w:themeColor="text1"/>
                <w:sz w:val="24"/>
                <w:szCs w:val="24"/>
              </w:rPr>
              <w:t xml:space="preserve"> Haloperidol wirkt bei Übelkeit gezielt und eignet sich deshalb am besten zur Behandlung dieser Nebenwirkung. Es sollte niedrig dosiert werden (3–5 Tropfen 3-mal täglich). </w:t>
            </w:r>
          </w:p>
          <w:p w14:paraId="3D8626B7" w14:textId="77777777" w:rsidR="00AA31C1" w:rsidRPr="00AA31C1" w:rsidRDefault="00AA31C1" w:rsidP="00AA31C1">
            <w:pPr>
              <w:spacing w:before="120" w:after="120"/>
              <w:rPr>
                <w:rFonts w:ascii="Arial" w:hAnsi="Arial" w:cs="Arial"/>
                <w:bCs/>
                <w:color w:val="000000" w:themeColor="text1"/>
                <w:sz w:val="24"/>
                <w:szCs w:val="24"/>
              </w:rPr>
            </w:pPr>
            <w:r w:rsidRPr="00AA31C1">
              <w:rPr>
                <w:rFonts w:ascii="Arial" w:hAnsi="Arial" w:cs="Arial"/>
                <w:b/>
                <w:color w:val="000000" w:themeColor="text1"/>
                <w:sz w:val="24"/>
                <w:szCs w:val="24"/>
              </w:rPr>
              <w:t>Benommenheit, Schwindel, Schläfrigkeit: Diese</w:t>
            </w:r>
            <w:r w:rsidRPr="00AA31C1">
              <w:rPr>
                <w:rFonts w:ascii="Arial" w:hAnsi="Arial" w:cs="Arial"/>
                <w:bCs/>
                <w:color w:val="000000" w:themeColor="text1"/>
                <w:sz w:val="24"/>
                <w:szCs w:val="24"/>
              </w:rPr>
              <w:t xml:space="preserve"> Nebenwirkungen lassen oftmals innerhalb der ersten 14 Tage spürbar nach. Sie lassen sich kaum medikamentös behandeln, sodass dem Betroffenen eher Ruhe oder eventuell Ablenkung ange</w:t>
            </w:r>
            <w:r w:rsidRPr="00AA31C1">
              <w:rPr>
                <w:rFonts w:ascii="Arial" w:hAnsi="Arial" w:cs="Arial"/>
                <w:bCs/>
                <w:color w:val="000000" w:themeColor="text1"/>
                <w:sz w:val="24"/>
                <w:szCs w:val="24"/>
              </w:rPr>
              <w:softHyphen/>
              <w:t xml:space="preserve">boten werden sollten. </w:t>
            </w:r>
          </w:p>
        </w:tc>
      </w:tr>
    </w:tbl>
    <w:p w14:paraId="391E6A99" w14:textId="77777777" w:rsidR="00AA31C1" w:rsidRPr="00AA31C1" w:rsidRDefault="00AA31C1" w:rsidP="00AA31C1">
      <w:pPr>
        <w:spacing w:before="120" w:after="120"/>
        <w:rPr>
          <w:rFonts w:ascii="Arial" w:hAnsi="Arial" w:cs="Arial"/>
          <w:bCs/>
          <w:color w:val="000000" w:themeColor="text1"/>
          <w:sz w:val="24"/>
          <w:szCs w:val="24"/>
        </w:rPr>
      </w:pPr>
    </w:p>
    <w:sectPr w:rsidR="00AA31C1" w:rsidRPr="00AA31C1" w:rsidSect="00AA31C1">
      <w:headerReference w:type="default" r:id="rId9"/>
      <w:pgSz w:w="11906" w:h="16838" w:code="9"/>
      <w:pgMar w:top="-1276"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0AF30" w14:textId="77777777" w:rsidR="00B51C59" w:rsidRDefault="00B51C59" w:rsidP="002A5D13">
      <w:pPr>
        <w:spacing w:after="0" w:line="240" w:lineRule="auto"/>
      </w:pPr>
      <w:r>
        <w:separator/>
      </w:r>
    </w:p>
  </w:endnote>
  <w:endnote w:type="continuationSeparator" w:id="0">
    <w:p w14:paraId="3BFA17A4" w14:textId="77777777" w:rsidR="00B51C59" w:rsidRDefault="00B51C59"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70330" w14:textId="77777777" w:rsidR="00B51C59" w:rsidRDefault="00B51C59" w:rsidP="002A5D13">
      <w:pPr>
        <w:spacing w:after="0" w:line="240" w:lineRule="auto"/>
      </w:pPr>
      <w:r>
        <w:separator/>
      </w:r>
    </w:p>
  </w:footnote>
  <w:footnote w:type="continuationSeparator" w:id="0">
    <w:p w14:paraId="63BCAF55" w14:textId="77777777" w:rsidR="00B51C59" w:rsidRDefault="00B51C59"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7CE9A153" w14:textId="77777777" w:rsidTr="00635675">
      <w:tc>
        <w:tcPr>
          <w:tcW w:w="1500" w:type="pct"/>
          <w:tcBorders>
            <w:bottom w:val="single" w:sz="4" w:space="0" w:color="auto"/>
          </w:tcBorders>
          <w:shd w:val="clear" w:color="auto" w:fill="CCF07C"/>
          <w:vAlign w:val="center"/>
        </w:tcPr>
        <w:p w14:paraId="4A604033" w14:textId="27FE67ED" w:rsidR="007A7CA7" w:rsidRPr="00635675" w:rsidRDefault="00ED3984" w:rsidP="00635675">
          <w:pPr>
            <w:pStyle w:val="Kopfzeile"/>
            <w:jc w:val="center"/>
            <w:rPr>
              <w:b/>
            </w:rPr>
          </w:pPr>
          <w:r w:rsidRPr="00635675">
            <w:rPr>
              <w:b/>
              <w:sz w:val="24"/>
            </w:rPr>
            <w:t>Ausgabe 0</w:t>
          </w:r>
          <w:r w:rsidR="00AA31C1">
            <w:rPr>
              <w:b/>
              <w:sz w:val="24"/>
            </w:rPr>
            <w:t>6</w:t>
          </w:r>
          <w:r w:rsidR="007A7CA7" w:rsidRPr="00635675">
            <w:rPr>
              <w:b/>
              <w:sz w:val="24"/>
            </w:rPr>
            <w:t xml:space="preserve"> - 20</w:t>
          </w:r>
          <w:r w:rsidR="00CC207A">
            <w:rPr>
              <w:b/>
              <w:sz w:val="24"/>
            </w:rPr>
            <w:t>2</w:t>
          </w:r>
          <w:r w:rsidR="00891A0F">
            <w:rPr>
              <w:b/>
              <w:sz w:val="24"/>
            </w:rPr>
            <w:t>5</w:t>
          </w:r>
        </w:p>
      </w:tc>
      <w:tc>
        <w:tcPr>
          <w:tcW w:w="4000" w:type="pct"/>
          <w:tcBorders>
            <w:bottom w:val="single" w:sz="4" w:space="0" w:color="auto"/>
          </w:tcBorders>
          <w:shd w:val="clear" w:color="auto" w:fill="8E89A5"/>
          <w:vAlign w:val="bottom"/>
        </w:tcPr>
        <w:p w14:paraId="698BCBA0" w14:textId="77777777" w:rsidR="007A7CA7" w:rsidRPr="0050689E" w:rsidRDefault="0050689E" w:rsidP="007A7CA7">
          <w:pPr>
            <w:pStyle w:val="Kopfzeile"/>
            <w:rPr>
              <w:b/>
              <w:bCs/>
              <w:color w:val="76923C"/>
              <w:sz w:val="28"/>
            </w:rPr>
          </w:pPr>
          <w:r w:rsidRPr="00635675">
            <w:rPr>
              <w:b/>
              <w:bCs/>
              <w:caps/>
              <w:color w:val="CCF07C"/>
              <w:sz w:val="36"/>
            </w:rPr>
            <w:t>Palliativ</w:t>
          </w:r>
          <w:r w:rsidRPr="00D91571">
            <w:rPr>
              <w:bCs/>
              <w:caps/>
              <w:color w:val="FFFFFF"/>
              <w:sz w:val="36"/>
            </w:rPr>
            <w:t>pflege</w:t>
          </w:r>
          <w:r w:rsidRPr="0050689E">
            <w:rPr>
              <w:bCs/>
              <w:caps/>
              <w:sz w:val="36"/>
            </w:rPr>
            <w:t xml:space="preserve"> </w:t>
          </w:r>
          <w:r w:rsidRPr="00635675">
            <w:rPr>
              <w:rFonts w:ascii="Segoe Print" w:hAnsi="Segoe Print"/>
              <w:b/>
              <w:bCs/>
              <w:color w:val="27467D"/>
              <w:sz w:val="36"/>
            </w:rPr>
            <w:t>heute</w:t>
          </w:r>
          <w:r w:rsidR="007A7CA7" w:rsidRPr="0050689E">
            <w:rPr>
              <w:rFonts w:ascii="Kristen ITC" w:hAnsi="Kristen ITC"/>
              <w:b/>
              <w:bCs/>
              <w:caps/>
              <w:sz w:val="40"/>
            </w:rPr>
            <w:t xml:space="preserve"> </w:t>
          </w:r>
        </w:p>
        <w:p w14:paraId="330FB6EE" w14:textId="77777777" w:rsidR="007A7CA7" w:rsidRPr="00D91571" w:rsidRDefault="0050689E" w:rsidP="007A7CA7">
          <w:pPr>
            <w:pStyle w:val="Kopfzeile"/>
            <w:rPr>
              <w:color w:val="FFFFFF"/>
              <w:sz w:val="24"/>
            </w:rPr>
          </w:pPr>
          <w:r w:rsidRPr="00D91571">
            <w:rPr>
              <w:bCs/>
              <w:color w:val="FFFFFF"/>
              <w:sz w:val="18"/>
            </w:rPr>
            <w:t>Schwerstkranke und Sterbende professionell pflegen und ganzheitlich begleiten</w:t>
          </w:r>
        </w:p>
      </w:tc>
    </w:tr>
  </w:tbl>
  <w:p w14:paraId="29DED754" w14:textId="77777777" w:rsidR="007A7CA7" w:rsidRDefault="007A7CA7">
    <w:pPr>
      <w:pStyle w:val="Kopfzeile"/>
    </w:pPr>
  </w:p>
  <w:p w14:paraId="64F773D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583027377">
    <w:abstractNumId w:val="9"/>
  </w:num>
  <w:num w:numId="2" w16cid:durableId="14428028">
    <w:abstractNumId w:val="19"/>
  </w:num>
  <w:num w:numId="3" w16cid:durableId="1422145638">
    <w:abstractNumId w:val="21"/>
  </w:num>
  <w:num w:numId="4" w16cid:durableId="287125857">
    <w:abstractNumId w:val="10"/>
  </w:num>
  <w:num w:numId="5" w16cid:durableId="694965194">
    <w:abstractNumId w:val="6"/>
  </w:num>
  <w:num w:numId="6" w16cid:durableId="1680082122">
    <w:abstractNumId w:val="7"/>
  </w:num>
  <w:num w:numId="7" w16cid:durableId="280460949">
    <w:abstractNumId w:val="12"/>
  </w:num>
  <w:num w:numId="8" w16cid:durableId="2052265432">
    <w:abstractNumId w:val="11"/>
  </w:num>
  <w:num w:numId="9" w16cid:durableId="788276020">
    <w:abstractNumId w:val="8"/>
  </w:num>
  <w:num w:numId="10" w16cid:durableId="1512185347">
    <w:abstractNumId w:val="5"/>
  </w:num>
  <w:num w:numId="11" w16cid:durableId="1446078547">
    <w:abstractNumId w:val="20"/>
  </w:num>
  <w:num w:numId="12" w16cid:durableId="1125122879">
    <w:abstractNumId w:val="14"/>
  </w:num>
  <w:num w:numId="13" w16cid:durableId="299844825">
    <w:abstractNumId w:val="15"/>
  </w:num>
  <w:num w:numId="14" w16cid:durableId="769473679">
    <w:abstractNumId w:val="13"/>
  </w:num>
  <w:num w:numId="15" w16cid:durableId="354157895">
    <w:abstractNumId w:val="16"/>
  </w:num>
  <w:num w:numId="16" w16cid:durableId="730618392">
    <w:abstractNumId w:val="17"/>
  </w:num>
  <w:num w:numId="17" w16cid:durableId="1635981274">
    <w:abstractNumId w:val="18"/>
  </w:num>
  <w:num w:numId="18" w16cid:durableId="825585097">
    <w:abstractNumId w:val="4"/>
  </w:num>
  <w:num w:numId="19" w16cid:durableId="1151482016">
    <w:abstractNumId w:val="3"/>
  </w:num>
  <w:num w:numId="20" w16cid:durableId="755325577">
    <w:abstractNumId w:val="2"/>
  </w:num>
  <w:num w:numId="21" w16cid:durableId="1865551489">
    <w:abstractNumId w:val="1"/>
  </w:num>
  <w:num w:numId="22" w16cid:durableId="1188982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263D2"/>
    <w:rsid w:val="00032A0C"/>
    <w:rsid w:val="00070D06"/>
    <w:rsid w:val="00075F77"/>
    <w:rsid w:val="000B50CC"/>
    <w:rsid w:val="000C6A2D"/>
    <w:rsid w:val="00103AB6"/>
    <w:rsid w:val="00135B67"/>
    <w:rsid w:val="0015409B"/>
    <w:rsid w:val="001B429B"/>
    <w:rsid w:val="00205D0C"/>
    <w:rsid w:val="0027096C"/>
    <w:rsid w:val="002766CF"/>
    <w:rsid w:val="0028515F"/>
    <w:rsid w:val="00287413"/>
    <w:rsid w:val="002A5D13"/>
    <w:rsid w:val="002B029B"/>
    <w:rsid w:val="002B4419"/>
    <w:rsid w:val="002D45E4"/>
    <w:rsid w:val="002E4378"/>
    <w:rsid w:val="002F7B4F"/>
    <w:rsid w:val="002F7CBC"/>
    <w:rsid w:val="003676E3"/>
    <w:rsid w:val="00380EF0"/>
    <w:rsid w:val="003B1C00"/>
    <w:rsid w:val="003E3400"/>
    <w:rsid w:val="00433F51"/>
    <w:rsid w:val="004639C0"/>
    <w:rsid w:val="004955F6"/>
    <w:rsid w:val="004A47F9"/>
    <w:rsid w:val="004B6C90"/>
    <w:rsid w:val="004C2396"/>
    <w:rsid w:val="0050689E"/>
    <w:rsid w:val="00551B88"/>
    <w:rsid w:val="00587D31"/>
    <w:rsid w:val="005E1850"/>
    <w:rsid w:val="00606AB2"/>
    <w:rsid w:val="00614D0A"/>
    <w:rsid w:val="006337A9"/>
    <w:rsid w:val="00635675"/>
    <w:rsid w:val="00653E72"/>
    <w:rsid w:val="00661981"/>
    <w:rsid w:val="006A5CFE"/>
    <w:rsid w:val="006E18EF"/>
    <w:rsid w:val="00746C8E"/>
    <w:rsid w:val="00782522"/>
    <w:rsid w:val="007A7CA7"/>
    <w:rsid w:val="007B0290"/>
    <w:rsid w:val="007C0AE5"/>
    <w:rsid w:val="007E1A2E"/>
    <w:rsid w:val="00811578"/>
    <w:rsid w:val="00841FA8"/>
    <w:rsid w:val="00852BFB"/>
    <w:rsid w:val="008537CF"/>
    <w:rsid w:val="008633AC"/>
    <w:rsid w:val="00887070"/>
    <w:rsid w:val="00891A0F"/>
    <w:rsid w:val="008B1F83"/>
    <w:rsid w:val="008E62B1"/>
    <w:rsid w:val="008F5C4C"/>
    <w:rsid w:val="00937B0B"/>
    <w:rsid w:val="009433D9"/>
    <w:rsid w:val="0096122E"/>
    <w:rsid w:val="00983536"/>
    <w:rsid w:val="009B721F"/>
    <w:rsid w:val="009F084F"/>
    <w:rsid w:val="00A06C64"/>
    <w:rsid w:val="00A7627B"/>
    <w:rsid w:val="00AA31C1"/>
    <w:rsid w:val="00AC136E"/>
    <w:rsid w:val="00B01FFE"/>
    <w:rsid w:val="00B51C59"/>
    <w:rsid w:val="00B54D4E"/>
    <w:rsid w:val="00B707AF"/>
    <w:rsid w:val="00B87D52"/>
    <w:rsid w:val="00BD71E9"/>
    <w:rsid w:val="00C135D1"/>
    <w:rsid w:val="00C310AF"/>
    <w:rsid w:val="00C73E1A"/>
    <w:rsid w:val="00C96219"/>
    <w:rsid w:val="00CC207A"/>
    <w:rsid w:val="00CC38C8"/>
    <w:rsid w:val="00D86187"/>
    <w:rsid w:val="00D91571"/>
    <w:rsid w:val="00DB32C7"/>
    <w:rsid w:val="00E113DA"/>
    <w:rsid w:val="00E2265E"/>
    <w:rsid w:val="00E62980"/>
    <w:rsid w:val="00ED0C7B"/>
    <w:rsid w:val="00ED3984"/>
    <w:rsid w:val="00F20663"/>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168721"/>
  <w15:chartTrackingRefBased/>
  <w15:docId w15:val="{0E42D620-34CE-4256-8792-E63BA1CA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E61094-F5F5-4950-AA12-7CDC3A994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2877</Characters>
  <Application>Microsoft Office Word</Application>
  <DocSecurity>0</DocSecurity>
  <Lines>287</Lines>
  <Paragraphs>262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2025-05-25T15:25:00Z</dcterms:created>
  <dcterms:modified xsi:type="dcterms:W3CDTF">2025-05-25T15:25:00Z</dcterms:modified>
</cp:coreProperties>
</file>