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2FAEB" w14:textId="77777777" w:rsidR="00216183" w:rsidRDefault="00216183" w:rsidP="00242C0A">
      <w:pPr>
        <w:spacing w:before="120" w:after="1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3EEA46F" w14:textId="38CF8362" w:rsidR="00216183" w:rsidRPr="00216183" w:rsidRDefault="00216183" w:rsidP="00216183">
      <w:pPr>
        <w:spacing w:before="120" w:after="120"/>
        <w:rPr>
          <w:rFonts w:ascii="Arial" w:eastAsiaTheme="minorHAnsi" w:hAnsi="Arial" w:cs="Arial"/>
          <w:bCs/>
          <w:color w:val="000000" w:themeColor="text1"/>
          <w:kern w:val="2"/>
          <w:sz w:val="24"/>
          <w:szCs w:val="24"/>
          <w14:ligatures w14:val="standardContextual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268"/>
        <w:gridCol w:w="6804"/>
      </w:tblGrid>
      <w:tr w:rsidR="00216183" w:rsidRPr="00216183" w14:paraId="588C9922" w14:textId="77777777" w:rsidTr="00216183">
        <w:tblPrEx>
          <w:tblCellMar>
            <w:top w:w="0" w:type="dxa"/>
            <w:bottom w:w="0" w:type="dxa"/>
          </w:tblCellMar>
        </w:tblPrEx>
        <w:trPr>
          <w:trHeight w:val="159"/>
          <w:jc w:val="center"/>
        </w:trPr>
        <w:tc>
          <w:tcPr>
            <w:tcW w:w="11052" w:type="dxa"/>
            <w:gridSpan w:val="3"/>
            <w:shd w:val="clear" w:color="auto" w:fill="2E75CC"/>
          </w:tcPr>
          <w:p w14:paraId="3C8BC18A" w14:textId="0BF025FD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/>
                <w:color w:val="FFFFFF"/>
                <w:kern w:val="2"/>
                <w:sz w:val="28"/>
                <w:szCs w:val="28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/>
                <w:color w:val="FFFFFF"/>
                <w:kern w:val="2"/>
                <w:sz w:val="28"/>
                <w:szCs w:val="28"/>
                <w14:ligatures w14:val="standardContextual"/>
              </w:rPr>
              <w:t>Übersicht: So behalten Sie Vielfalt im Blick</w:t>
            </w:r>
          </w:p>
        </w:tc>
      </w:tr>
      <w:tr w:rsidR="00216183" w:rsidRPr="00216183" w14:paraId="5AC9BC16" w14:textId="77777777" w:rsidTr="00216183">
        <w:tblPrEx>
          <w:tblCellMar>
            <w:top w:w="0" w:type="dxa"/>
            <w:bottom w:w="0" w:type="dxa"/>
          </w:tblCellMar>
        </w:tblPrEx>
        <w:trPr>
          <w:trHeight w:val="159"/>
          <w:jc w:val="center"/>
        </w:trPr>
        <w:tc>
          <w:tcPr>
            <w:tcW w:w="1980" w:type="dxa"/>
            <w:shd w:val="clear" w:color="auto" w:fill="B0C0DA"/>
          </w:tcPr>
          <w:p w14:paraId="552727B1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Aspekte </w:t>
            </w:r>
          </w:p>
        </w:tc>
        <w:tc>
          <w:tcPr>
            <w:tcW w:w="2268" w:type="dxa"/>
            <w:shd w:val="clear" w:color="auto" w:fill="B0C0DA"/>
          </w:tcPr>
          <w:p w14:paraId="5A2A8452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Merkmale </w:t>
            </w:r>
          </w:p>
        </w:tc>
        <w:tc>
          <w:tcPr>
            <w:tcW w:w="6804" w:type="dxa"/>
            <w:shd w:val="clear" w:color="auto" w:fill="B0C0DA"/>
          </w:tcPr>
          <w:p w14:paraId="2C232185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Erläuterung </w:t>
            </w:r>
          </w:p>
        </w:tc>
      </w:tr>
      <w:tr w:rsidR="00216183" w:rsidRPr="00216183" w14:paraId="445B90B5" w14:textId="77777777" w:rsidTr="00216183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980" w:type="dxa"/>
            <w:vMerge w:val="restart"/>
          </w:tcPr>
          <w:p w14:paraId="084190DB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Kommunikation und Sprache </w:t>
            </w:r>
          </w:p>
        </w:tc>
        <w:tc>
          <w:tcPr>
            <w:tcW w:w="2268" w:type="dxa"/>
          </w:tcPr>
          <w:p w14:paraId="565ED482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Direktheit vs. Indirektheit </w:t>
            </w:r>
          </w:p>
        </w:tc>
        <w:tc>
          <w:tcPr>
            <w:tcW w:w="6804" w:type="dxa"/>
          </w:tcPr>
          <w:p w14:paraId="0F0B6CDA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In manchen Kulturen wird offen über den Tod gesprochen, während </w:t>
            </w:r>
            <w:proofErr w:type="gramStart"/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in anderen eher indirekte Formulierungen</w:t>
            </w:r>
            <w:proofErr w:type="gramEnd"/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 bevorzugt werden. </w:t>
            </w:r>
          </w:p>
        </w:tc>
      </w:tr>
      <w:tr w:rsidR="00216183" w:rsidRPr="00216183" w14:paraId="2448E50C" w14:textId="77777777" w:rsidTr="00216183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1980" w:type="dxa"/>
            <w:vMerge/>
          </w:tcPr>
          <w:p w14:paraId="07CB3B5C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</w:tcPr>
          <w:p w14:paraId="1AB0F677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Nonverbale Kommunikation </w:t>
            </w:r>
          </w:p>
        </w:tc>
        <w:tc>
          <w:tcPr>
            <w:tcW w:w="6804" w:type="dxa"/>
          </w:tcPr>
          <w:p w14:paraId="11EBF5FF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Gestik, Mimik, Blickkontakt und körperliche Nähe können kulturell unter</w:t>
            </w: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softHyphen/>
              <w:t xml:space="preserve">schiedlich interpretiert werden. Was in einer Kultur tröstend wirkt, kann in einer anderen als aufdringlich oder respektlos empfunden werden. </w:t>
            </w:r>
          </w:p>
        </w:tc>
      </w:tr>
      <w:tr w:rsidR="00216183" w:rsidRPr="00216183" w14:paraId="27B0C77D" w14:textId="77777777" w:rsidTr="0021618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1980" w:type="dxa"/>
            <w:vMerge/>
          </w:tcPr>
          <w:p w14:paraId="1B87B3AF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</w:tcPr>
          <w:p w14:paraId="40050E80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Sprachbarrieren </w:t>
            </w:r>
          </w:p>
        </w:tc>
        <w:tc>
          <w:tcPr>
            <w:tcW w:w="6804" w:type="dxa"/>
          </w:tcPr>
          <w:p w14:paraId="1D0A1ABF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Stellen Sie sicher, dass eine adäquate Kommunikation möglich ist. </w:t>
            </w:r>
          </w:p>
        </w:tc>
      </w:tr>
      <w:tr w:rsidR="00216183" w:rsidRPr="00216183" w14:paraId="50F7640A" w14:textId="77777777" w:rsidTr="00216183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980" w:type="dxa"/>
            <w:vMerge w:val="restart"/>
          </w:tcPr>
          <w:p w14:paraId="43E1BF6E" w14:textId="36B13E9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Krankheits- und Todes</w:t>
            </w:r>
            <w:r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-</w:t>
            </w: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vorstellungen </w:t>
            </w:r>
          </w:p>
        </w:tc>
        <w:tc>
          <w:tcPr>
            <w:tcW w:w="2268" w:type="dxa"/>
          </w:tcPr>
          <w:p w14:paraId="4679C191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Ursachen von Krankheit </w:t>
            </w:r>
          </w:p>
        </w:tc>
        <w:tc>
          <w:tcPr>
            <w:tcW w:w="6804" w:type="dxa"/>
          </w:tcPr>
          <w:p w14:paraId="4803B303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Unterschiedliche kulturelle und religiöse Überzeugungen können die Vor</w:t>
            </w: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softHyphen/>
              <w:t xml:space="preserve">stellung von Krankheitsursachen beeinflussen. </w:t>
            </w:r>
          </w:p>
        </w:tc>
      </w:tr>
      <w:tr w:rsidR="00216183" w:rsidRPr="00216183" w14:paraId="12D97657" w14:textId="77777777" w:rsidTr="00216183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1980" w:type="dxa"/>
            <w:vMerge/>
          </w:tcPr>
          <w:p w14:paraId="3DC5A754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</w:tcPr>
          <w:p w14:paraId="62B1173B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Tabuthemen </w:t>
            </w:r>
          </w:p>
        </w:tc>
        <w:tc>
          <w:tcPr>
            <w:tcW w:w="6804" w:type="dxa"/>
          </w:tcPr>
          <w:p w14:paraId="3ED52AD8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In einigen Kulturen sind bestimmte Krankheiten oder der Tod selbst Tabu</w:t>
            </w: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softHyphen/>
              <w:t xml:space="preserve">themen, über die nicht offen gesprochen wird (z. B. türkischstämmige und japanische Gemeinschaften). </w:t>
            </w:r>
          </w:p>
        </w:tc>
      </w:tr>
      <w:tr w:rsidR="00216183" w:rsidRPr="00216183" w14:paraId="7E2A5BA2" w14:textId="77777777" w:rsidTr="00216183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1980" w:type="dxa"/>
            <w:vMerge w:val="restart"/>
          </w:tcPr>
          <w:p w14:paraId="3B9DA13A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Umgang mit Leid und Schmerz </w:t>
            </w:r>
          </w:p>
        </w:tc>
        <w:tc>
          <w:tcPr>
            <w:tcW w:w="2268" w:type="dxa"/>
          </w:tcPr>
          <w:p w14:paraId="293EFBB3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Ausdruck von Schmerz </w:t>
            </w:r>
          </w:p>
        </w:tc>
        <w:tc>
          <w:tcPr>
            <w:tcW w:w="6804" w:type="dxa"/>
          </w:tcPr>
          <w:p w14:paraId="704ABC65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Der offene Ausdruck von Schmerz kann kulturell unterschiedlich sein. Man</w:t>
            </w: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softHyphen/>
              <w:t xml:space="preserve">che Kulturen ermutigen zum offenen Zeigen von Leid, während andere Stärke und Zurückhaltung erwarten. </w:t>
            </w:r>
          </w:p>
        </w:tc>
      </w:tr>
      <w:tr w:rsidR="00216183" w:rsidRPr="00216183" w14:paraId="481DCF1E" w14:textId="77777777" w:rsidTr="00216183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980" w:type="dxa"/>
            <w:vMerge/>
          </w:tcPr>
          <w:p w14:paraId="3A0A5A40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</w:tcPr>
          <w:p w14:paraId="3A352197" w14:textId="5CE4786C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Bewältigungs</w:t>
            </w:r>
            <w:r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-</w:t>
            </w: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strategien </w:t>
            </w:r>
          </w:p>
        </w:tc>
        <w:tc>
          <w:tcPr>
            <w:tcW w:w="6804" w:type="dxa"/>
          </w:tcPr>
          <w:p w14:paraId="23567D9E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Kulturelle und religiöse Praktiken können eine wichtige Rolle bei der Be</w:t>
            </w: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softHyphen/>
              <w:t xml:space="preserve">wältigung von Leid und Schmerz spielen. </w:t>
            </w:r>
          </w:p>
        </w:tc>
      </w:tr>
      <w:tr w:rsidR="00216183" w:rsidRPr="00216183" w14:paraId="78DA2266" w14:textId="77777777" w:rsidTr="00216183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980" w:type="dxa"/>
            <w:vMerge w:val="restart"/>
          </w:tcPr>
          <w:p w14:paraId="3A9F9EFF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Rolle der Familie und Gemeinschaft </w:t>
            </w:r>
          </w:p>
        </w:tc>
        <w:tc>
          <w:tcPr>
            <w:tcW w:w="2268" w:type="dxa"/>
          </w:tcPr>
          <w:p w14:paraId="18A36219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Familie </w:t>
            </w:r>
          </w:p>
        </w:tc>
        <w:tc>
          <w:tcPr>
            <w:tcW w:w="6804" w:type="dxa"/>
          </w:tcPr>
          <w:p w14:paraId="4EF71B2B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In vielen Kulturen spielt die Familie eine zentrale Rolle in der Versorgung und Entscheidungsfindung. </w:t>
            </w:r>
          </w:p>
        </w:tc>
      </w:tr>
      <w:tr w:rsidR="00216183" w:rsidRPr="00216183" w14:paraId="6362904C" w14:textId="77777777" w:rsidTr="00216183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980" w:type="dxa"/>
            <w:vMerge/>
          </w:tcPr>
          <w:p w14:paraId="6366A4D4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</w:tcPr>
          <w:p w14:paraId="73CE49EE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Gemeinschaft </w:t>
            </w:r>
          </w:p>
        </w:tc>
        <w:tc>
          <w:tcPr>
            <w:tcW w:w="6804" w:type="dxa"/>
          </w:tcPr>
          <w:p w14:paraId="4BF72566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Religiöse oder ethnische Gemeinschaften können eine wichtige Quelle der Unterstützung und des Trostes sein. </w:t>
            </w:r>
          </w:p>
        </w:tc>
      </w:tr>
      <w:tr w:rsidR="00216183" w:rsidRPr="00216183" w14:paraId="1647CDF2" w14:textId="77777777" w:rsidTr="00216183">
        <w:tblPrEx>
          <w:tblCellMar>
            <w:top w:w="0" w:type="dxa"/>
            <w:bottom w:w="0" w:type="dxa"/>
          </w:tblCellMar>
        </w:tblPrEx>
        <w:trPr>
          <w:trHeight w:val="367"/>
          <w:jc w:val="center"/>
        </w:trPr>
        <w:tc>
          <w:tcPr>
            <w:tcW w:w="1980" w:type="dxa"/>
            <w:vMerge w:val="restart"/>
          </w:tcPr>
          <w:p w14:paraId="57469012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Religiöse und spirituelle Bedürfnisse </w:t>
            </w:r>
          </w:p>
        </w:tc>
        <w:tc>
          <w:tcPr>
            <w:tcW w:w="2268" w:type="dxa"/>
          </w:tcPr>
          <w:p w14:paraId="4911E1EC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Rituale und Praktiken </w:t>
            </w:r>
          </w:p>
        </w:tc>
        <w:tc>
          <w:tcPr>
            <w:tcW w:w="6804" w:type="dxa"/>
          </w:tcPr>
          <w:p w14:paraId="4E14FD57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Religiöse und spirituelle Rituale können in der Sterbephase eine große Bedeutung haben. </w:t>
            </w:r>
          </w:p>
        </w:tc>
      </w:tr>
      <w:tr w:rsidR="00216183" w:rsidRPr="00216183" w14:paraId="3004E926" w14:textId="77777777" w:rsidTr="00216183">
        <w:tblPrEx>
          <w:tblCellMar>
            <w:top w:w="0" w:type="dxa"/>
            <w:bottom w:w="0" w:type="dxa"/>
          </w:tblCellMar>
        </w:tblPrEx>
        <w:trPr>
          <w:trHeight w:val="127"/>
          <w:jc w:val="center"/>
        </w:trPr>
        <w:tc>
          <w:tcPr>
            <w:tcW w:w="1980" w:type="dxa"/>
            <w:vMerge/>
          </w:tcPr>
          <w:p w14:paraId="5BB4807F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</w:tcPr>
          <w:p w14:paraId="36B28232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Speisevorschriften und Fasten </w:t>
            </w:r>
          </w:p>
        </w:tc>
        <w:tc>
          <w:tcPr>
            <w:tcW w:w="6804" w:type="dxa"/>
          </w:tcPr>
          <w:p w14:paraId="79398DE1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Beachten Sie religiöse Vorschriften bezüglich Ernährung und Fasten. </w:t>
            </w:r>
          </w:p>
        </w:tc>
      </w:tr>
      <w:tr w:rsidR="00216183" w:rsidRPr="00216183" w14:paraId="51E2CC47" w14:textId="77777777" w:rsidTr="00216183">
        <w:tblPrEx>
          <w:tblCellMar>
            <w:top w:w="0" w:type="dxa"/>
            <w:bottom w:w="0" w:type="dxa"/>
          </w:tblCellMar>
        </w:tblPrEx>
        <w:trPr>
          <w:trHeight w:val="247"/>
          <w:jc w:val="center"/>
        </w:trPr>
        <w:tc>
          <w:tcPr>
            <w:tcW w:w="1980" w:type="dxa"/>
            <w:vMerge/>
          </w:tcPr>
          <w:p w14:paraId="47712CBF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2268" w:type="dxa"/>
          </w:tcPr>
          <w:p w14:paraId="5BCE8256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 xml:space="preserve">Umgang mit Verstorbenen </w:t>
            </w:r>
          </w:p>
        </w:tc>
        <w:tc>
          <w:tcPr>
            <w:tcW w:w="6804" w:type="dxa"/>
          </w:tcPr>
          <w:p w14:paraId="1C6B0D1D" w14:textId="77777777" w:rsidR="00216183" w:rsidRPr="00216183" w:rsidRDefault="00216183" w:rsidP="00216183">
            <w:pPr>
              <w:spacing w:before="120" w:after="120"/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</w:pPr>
            <w:r w:rsidRPr="00216183">
              <w:rPr>
                <w:rFonts w:ascii="Arial" w:eastAsiaTheme="minorHAnsi" w:hAnsi="Arial" w:cs="Arial"/>
                <w:bCs/>
                <w:color w:val="000000" w:themeColor="text1"/>
                <w:kern w:val="2"/>
                <w:sz w:val="24"/>
                <w:szCs w:val="24"/>
                <w14:ligatures w14:val="standardContextual"/>
              </w:rPr>
              <w:t>Kulturelle und religiöse Traditionen beeinflussen den Umgang mit dem Leichnam und die Trauerzeremonien.</w:t>
            </w:r>
          </w:p>
        </w:tc>
      </w:tr>
    </w:tbl>
    <w:p w14:paraId="6C6EEA1E" w14:textId="77777777" w:rsidR="00216183" w:rsidRPr="00242C0A" w:rsidRDefault="00216183" w:rsidP="00242C0A">
      <w:pPr>
        <w:spacing w:before="120" w:after="120"/>
        <w:rPr>
          <w:rFonts w:ascii="Arial" w:eastAsiaTheme="minorHAnsi" w:hAnsi="Arial" w:cs="Arial"/>
          <w:bCs/>
          <w:color w:val="000000" w:themeColor="text1"/>
          <w:kern w:val="2"/>
          <w:sz w:val="24"/>
          <w:szCs w:val="24"/>
          <w14:ligatures w14:val="standardContextual"/>
        </w:rPr>
      </w:pPr>
    </w:p>
    <w:sectPr w:rsidR="00216183" w:rsidRPr="00242C0A" w:rsidSect="00216183">
      <w:headerReference w:type="default" r:id="rId9"/>
      <w:pgSz w:w="11906" w:h="16838" w:code="9"/>
      <w:pgMar w:top="-1276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2AED944D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307E80">
            <w:rPr>
              <w:b/>
              <w:color w:val="FFFFFF"/>
              <w:sz w:val="24"/>
            </w:rPr>
            <w:t>7</w:t>
          </w:r>
          <w:r w:rsidR="007A7CA7" w:rsidRPr="007A7CA7">
            <w:rPr>
              <w:b/>
              <w:color w:val="FFFFFF"/>
              <w:sz w:val="24"/>
            </w:rPr>
            <w:t xml:space="preserve"> - 20</w:t>
          </w:r>
          <w:r w:rsidR="00696A92">
            <w:rPr>
              <w:b/>
              <w:color w:val="FFFFFF"/>
              <w:sz w:val="24"/>
            </w:rPr>
            <w:t>2</w:t>
          </w:r>
          <w:r w:rsidR="00F44690">
            <w:rPr>
              <w:b/>
              <w:color w:val="FFFFFF"/>
              <w:sz w:val="24"/>
            </w:rPr>
            <w:t>5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807681574" name="Grafik 18076815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50127"/>
    <w:multiLevelType w:val="multilevel"/>
    <w:tmpl w:val="A0F4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F215E"/>
    <w:multiLevelType w:val="hybridMultilevel"/>
    <w:tmpl w:val="B46C3BF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91635"/>
    <w:multiLevelType w:val="hybridMultilevel"/>
    <w:tmpl w:val="66A6582C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4267C"/>
    <w:multiLevelType w:val="hybridMultilevel"/>
    <w:tmpl w:val="4204FAE4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735E3"/>
    <w:multiLevelType w:val="hybridMultilevel"/>
    <w:tmpl w:val="FA5C1E66"/>
    <w:lvl w:ilvl="0" w:tplc="9688711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0604190">
    <w:abstractNumId w:val="12"/>
  </w:num>
  <w:num w:numId="2" w16cid:durableId="1456217558">
    <w:abstractNumId w:val="23"/>
  </w:num>
  <w:num w:numId="3" w16cid:durableId="1803574363">
    <w:abstractNumId w:val="26"/>
  </w:num>
  <w:num w:numId="4" w16cid:durableId="1661150236">
    <w:abstractNumId w:val="14"/>
  </w:num>
  <w:num w:numId="5" w16cid:durableId="840630696">
    <w:abstractNumId w:val="6"/>
  </w:num>
  <w:num w:numId="6" w16cid:durableId="1786457857">
    <w:abstractNumId w:val="9"/>
  </w:num>
  <w:num w:numId="7" w16cid:durableId="273442169">
    <w:abstractNumId w:val="16"/>
  </w:num>
  <w:num w:numId="8" w16cid:durableId="1239441314">
    <w:abstractNumId w:val="15"/>
  </w:num>
  <w:num w:numId="9" w16cid:durableId="1978216536">
    <w:abstractNumId w:val="10"/>
  </w:num>
  <w:num w:numId="10" w16cid:durableId="646931857">
    <w:abstractNumId w:val="5"/>
  </w:num>
  <w:num w:numId="11" w16cid:durableId="1137146208">
    <w:abstractNumId w:val="24"/>
  </w:num>
  <w:num w:numId="12" w16cid:durableId="1204052296">
    <w:abstractNumId w:val="18"/>
  </w:num>
  <w:num w:numId="13" w16cid:durableId="1106383001">
    <w:abstractNumId w:val="19"/>
  </w:num>
  <w:num w:numId="14" w16cid:durableId="793400410">
    <w:abstractNumId w:val="17"/>
  </w:num>
  <w:num w:numId="15" w16cid:durableId="170730696">
    <w:abstractNumId w:val="20"/>
  </w:num>
  <w:num w:numId="16" w16cid:durableId="1470124009">
    <w:abstractNumId w:val="21"/>
  </w:num>
  <w:num w:numId="17" w16cid:durableId="1016734673">
    <w:abstractNumId w:val="22"/>
  </w:num>
  <w:num w:numId="18" w16cid:durableId="1796101997">
    <w:abstractNumId w:val="4"/>
  </w:num>
  <w:num w:numId="19" w16cid:durableId="1924483445">
    <w:abstractNumId w:val="3"/>
  </w:num>
  <w:num w:numId="20" w16cid:durableId="2132623539">
    <w:abstractNumId w:val="2"/>
  </w:num>
  <w:num w:numId="21" w16cid:durableId="1909261134">
    <w:abstractNumId w:val="1"/>
  </w:num>
  <w:num w:numId="22" w16cid:durableId="339436213">
    <w:abstractNumId w:val="0"/>
  </w:num>
  <w:num w:numId="23" w16cid:durableId="2047831250">
    <w:abstractNumId w:val="7"/>
  </w:num>
  <w:num w:numId="24" w16cid:durableId="94332829">
    <w:abstractNumId w:val="13"/>
  </w:num>
  <w:num w:numId="25" w16cid:durableId="1737319282">
    <w:abstractNumId w:val="25"/>
  </w:num>
  <w:num w:numId="26" w16cid:durableId="369913910">
    <w:abstractNumId w:val="8"/>
  </w:num>
  <w:num w:numId="27" w16cid:durableId="12825692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A7B82"/>
    <w:rsid w:val="000B35ED"/>
    <w:rsid w:val="000B50CC"/>
    <w:rsid w:val="000C03BB"/>
    <w:rsid w:val="000C6A2D"/>
    <w:rsid w:val="000E0582"/>
    <w:rsid w:val="0015409B"/>
    <w:rsid w:val="001B429B"/>
    <w:rsid w:val="00205D0C"/>
    <w:rsid w:val="00216183"/>
    <w:rsid w:val="00242C0A"/>
    <w:rsid w:val="00245384"/>
    <w:rsid w:val="00247E00"/>
    <w:rsid w:val="0027096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07E80"/>
    <w:rsid w:val="00314796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50689E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6E2625"/>
    <w:rsid w:val="00757C3F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20C9E"/>
    <w:rsid w:val="00AC136E"/>
    <w:rsid w:val="00B01FFE"/>
    <w:rsid w:val="00B42C1E"/>
    <w:rsid w:val="00B707AF"/>
    <w:rsid w:val="00B87D52"/>
    <w:rsid w:val="00BD71E9"/>
    <w:rsid w:val="00C135D1"/>
    <w:rsid w:val="00C310AF"/>
    <w:rsid w:val="00C73E1A"/>
    <w:rsid w:val="00CC38C8"/>
    <w:rsid w:val="00D86187"/>
    <w:rsid w:val="00DB146B"/>
    <w:rsid w:val="00DB32C7"/>
    <w:rsid w:val="00E113DA"/>
    <w:rsid w:val="00E2265E"/>
    <w:rsid w:val="00ED3984"/>
    <w:rsid w:val="00F20663"/>
    <w:rsid w:val="00F44690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table" w:styleId="Tabellenraster">
    <w:name w:val="Table Grid"/>
    <w:basedOn w:val="NormaleTabelle"/>
    <w:uiPriority w:val="39"/>
    <w:rsid w:val="00307E80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2025-06-03T12:10:00Z</dcterms:created>
  <dcterms:modified xsi:type="dcterms:W3CDTF">2025-06-03T12:10:00Z</dcterms:modified>
</cp:coreProperties>
</file>