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498F3" w14:textId="77777777" w:rsidR="002A5D13" w:rsidRDefault="007A7CA7" w:rsidP="007A7CA7">
      <w:pPr>
        <w:tabs>
          <w:tab w:val="left" w:pos="5280"/>
        </w:tabs>
        <w:rPr>
          <w:b/>
          <w:noProof/>
          <w:lang w:eastAsia="de-DE"/>
        </w:rPr>
      </w:pPr>
      <w:r>
        <w:rPr>
          <w:b/>
          <w:noProof/>
          <w:lang w:eastAsia="de-DE"/>
        </w:rPr>
        <w:tab/>
      </w:r>
    </w:p>
    <w:p w14:paraId="71B836AF" w14:textId="19D2F12D" w:rsidR="00DD1563" w:rsidRPr="00396DE5" w:rsidRDefault="007A7CA7" w:rsidP="00396DE5">
      <w:pPr>
        <w:tabs>
          <w:tab w:val="left" w:pos="1365"/>
          <w:tab w:val="left" w:pos="2430"/>
          <w:tab w:val="left" w:pos="4185"/>
          <w:tab w:val="left" w:pos="6900"/>
        </w:tabs>
      </w:pPr>
      <w:r>
        <w:tab/>
      </w:r>
      <w:r w:rsidR="005E1850">
        <w:tab/>
      </w:r>
      <w:r>
        <w:tab/>
      </w:r>
      <w:r w:rsidR="00B707AF">
        <w:tab/>
      </w:r>
    </w:p>
    <w:p w14:paraId="6E5EDD72" w14:textId="77777777" w:rsidR="00396DE5" w:rsidRDefault="00396DE5" w:rsidP="00251B2B">
      <w:pPr>
        <w:pStyle w:val="Listenabsatz"/>
        <w:spacing w:before="120" w:after="120" w:line="276" w:lineRule="auto"/>
        <w:ind w:left="0"/>
        <w:rPr>
          <w:rFonts w:ascii="Arial" w:hAnsi="Arial" w:cs="Arial"/>
          <w:b/>
          <w:bCs w:val="0"/>
          <w:sz w:val="24"/>
        </w:rPr>
      </w:pPr>
    </w:p>
    <w:tbl>
      <w:tblPr>
        <w:tblW w:w="99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15"/>
        <w:gridCol w:w="6237"/>
      </w:tblGrid>
      <w:tr w:rsidR="00396DE5" w:rsidRPr="00396DE5" w14:paraId="23FC7BA7" w14:textId="77777777" w:rsidTr="006F1ED7">
        <w:tblPrEx>
          <w:tblCellMar>
            <w:top w:w="0" w:type="dxa"/>
            <w:bottom w:w="0" w:type="dxa"/>
          </w:tblCellMar>
        </w:tblPrEx>
        <w:trPr>
          <w:trHeight w:val="145"/>
          <w:jc w:val="center"/>
        </w:trPr>
        <w:tc>
          <w:tcPr>
            <w:tcW w:w="9952" w:type="dxa"/>
            <w:gridSpan w:val="2"/>
            <w:shd w:val="clear" w:color="auto" w:fill="750D53"/>
          </w:tcPr>
          <w:p w14:paraId="69FCD822" w14:textId="5BF39513" w:rsidR="00396DE5" w:rsidRPr="00396DE5" w:rsidRDefault="00396DE5" w:rsidP="00396DE5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  <w:r w:rsidRPr="00396DE5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 xml:space="preserve">Übersicht: Basics </w:t>
            </w:r>
            <w:r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z</w:t>
            </w:r>
            <w:r w:rsidRPr="00396DE5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 xml:space="preserve">um Umgang </w:t>
            </w:r>
            <w:r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m</w:t>
            </w:r>
            <w:r w:rsidRPr="00396DE5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 xml:space="preserve">it Handschuhen </w:t>
            </w:r>
          </w:p>
        </w:tc>
      </w:tr>
      <w:tr w:rsidR="00396DE5" w:rsidRPr="00396DE5" w14:paraId="7F0F7ADE" w14:textId="77777777" w:rsidTr="006F1ED7">
        <w:tblPrEx>
          <w:tblCellMar>
            <w:top w:w="0" w:type="dxa"/>
            <w:bottom w:w="0" w:type="dxa"/>
          </w:tblCellMar>
        </w:tblPrEx>
        <w:trPr>
          <w:trHeight w:val="240"/>
          <w:jc w:val="center"/>
        </w:trPr>
        <w:tc>
          <w:tcPr>
            <w:tcW w:w="9952" w:type="dxa"/>
            <w:gridSpan w:val="2"/>
          </w:tcPr>
          <w:p w14:paraId="28206D57" w14:textId="77777777" w:rsidR="00396DE5" w:rsidRPr="00396DE5" w:rsidRDefault="00396DE5" w:rsidP="00396DE5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bCs w:val="0"/>
                <w:sz w:val="24"/>
              </w:rPr>
            </w:pPr>
            <w:r w:rsidRPr="00396DE5">
              <w:rPr>
                <w:rFonts w:ascii="Arial" w:hAnsi="Arial" w:cs="Arial"/>
                <w:bCs w:val="0"/>
                <w:sz w:val="24"/>
              </w:rPr>
              <w:t xml:space="preserve">Schutzhandschuhe sind die wichtigste präventive Hautschutzmaßnahme. Sie bieten einen hohen Schutz vor den abzuwehrenden Schadstoffen. Dieser Schutz kann nur gewährleistet werden, wenn im Umgang mit Handschuhen die folgenden Basics </w:t>
            </w:r>
            <w:proofErr w:type="gramStart"/>
            <w:r w:rsidRPr="00396DE5">
              <w:rPr>
                <w:rFonts w:ascii="Arial" w:hAnsi="Arial" w:cs="Arial"/>
                <w:bCs w:val="0"/>
                <w:sz w:val="24"/>
              </w:rPr>
              <w:t>berücksichtigt</w:t>
            </w:r>
            <w:proofErr w:type="gramEnd"/>
            <w:r w:rsidRPr="00396DE5">
              <w:rPr>
                <w:rFonts w:ascii="Arial" w:hAnsi="Arial" w:cs="Arial"/>
                <w:bCs w:val="0"/>
                <w:sz w:val="24"/>
              </w:rPr>
              <w:t xml:space="preserve"> werden: </w:t>
            </w:r>
          </w:p>
        </w:tc>
      </w:tr>
      <w:tr w:rsidR="00396DE5" w:rsidRPr="00396DE5" w14:paraId="0F6A0571" w14:textId="77777777" w:rsidTr="006F1ED7">
        <w:tblPrEx>
          <w:tblCellMar>
            <w:top w:w="0" w:type="dxa"/>
            <w:bottom w:w="0" w:type="dxa"/>
          </w:tblCellMar>
        </w:tblPrEx>
        <w:trPr>
          <w:trHeight w:val="240"/>
          <w:jc w:val="center"/>
        </w:trPr>
        <w:tc>
          <w:tcPr>
            <w:tcW w:w="3715" w:type="dxa"/>
            <w:shd w:val="clear" w:color="auto" w:fill="92C1CA"/>
          </w:tcPr>
          <w:p w14:paraId="0FE995CE" w14:textId="77777777" w:rsidR="00396DE5" w:rsidRPr="00396DE5" w:rsidRDefault="00396DE5" w:rsidP="00396DE5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b/>
                <w:sz w:val="24"/>
              </w:rPr>
            </w:pPr>
            <w:r w:rsidRPr="00396DE5">
              <w:rPr>
                <w:rFonts w:ascii="Arial" w:hAnsi="Arial" w:cs="Arial"/>
                <w:b/>
                <w:sz w:val="24"/>
              </w:rPr>
              <w:t xml:space="preserve">1. Schutzhandschuhe dürfen nur auf sauberer, trockener Haut angezogen werden. </w:t>
            </w:r>
          </w:p>
        </w:tc>
        <w:tc>
          <w:tcPr>
            <w:tcW w:w="6237" w:type="dxa"/>
          </w:tcPr>
          <w:p w14:paraId="0F24BCC2" w14:textId="77777777" w:rsidR="00396DE5" w:rsidRPr="00396DE5" w:rsidRDefault="00396DE5" w:rsidP="00396DE5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bCs w:val="0"/>
                <w:sz w:val="24"/>
              </w:rPr>
            </w:pPr>
            <w:r w:rsidRPr="00396DE5">
              <w:rPr>
                <w:rFonts w:ascii="Arial" w:hAnsi="Arial" w:cs="Arial"/>
                <w:bCs w:val="0"/>
                <w:sz w:val="24"/>
              </w:rPr>
              <w:t>Deshalb: Nach Handreinigung mit Wasser und Waschlotion Hände gründlich und scho</w:t>
            </w:r>
            <w:r w:rsidRPr="00396DE5">
              <w:rPr>
                <w:rFonts w:ascii="Arial" w:hAnsi="Arial" w:cs="Arial"/>
                <w:bCs w:val="0"/>
                <w:sz w:val="24"/>
              </w:rPr>
              <w:softHyphen/>
              <w:t xml:space="preserve">nend mit Einmalhandtuch abtrocknen. </w:t>
            </w:r>
          </w:p>
        </w:tc>
      </w:tr>
      <w:tr w:rsidR="00396DE5" w:rsidRPr="00396DE5" w14:paraId="1699E3A8" w14:textId="77777777" w:rsidTr="006F1ED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3715" w:type="dxa"/>
            <w:shd w:val="clear" w:color="auto" w:fill="92C1CA"/>
          </w:tcPr>
          <w:p w14:paraId="715F84E8" w14:textId="77777777" w:rsidR="00396DE5" w:rsidRPr="00396DE5" w:rsidRDefault="00396DE5" w:rsidP="00396DE5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b/>
                <w:sz w:val="24"/>
              </w:rPr>
            </w:pPr>
            <w:r w:rsidRPr="00396DE5">
              <w:rPr>
                <w:rFonts w:ascii="Arial" w:hAnsi="Arial" w:cs="Arial"/>
                <w:b/>
                <w:sz w:val="24"/>
              </w:rPr>
              <w:t xml:space="preserve">2. Schutzhandschuhe dürfen nicht ununterbrochen getragen werden. </w:t>
            </w:r>
          </w:p>
        </w:tc>
        <w:tc>
          <w:tcPr>
            <w:tcW w:w="6237" w:type="dxa"/>
          </w:tcPr>
          <w:p w14:paraId="787AB5B5" w14:textId="77777777" w:rsidR="00396DE5" w:rsidRPr="00396DE5" w:rsidRDefault="00396DE5" w:rsidP="00396DE5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bCs w:val="0"/>
                <w:sz w:val="24"/>
              </w:rPr>
            </w:pPr>
            <w:r w:rsidRPr="00396DE5">
              <w:rPr>
                <w:rFonts w:ascii="Arial" w:hAnsi="Arial" w:cs="Arial"/>
                <w:bCs w:val="0"/>
                <w:sz w:val="24"/>
              </w:rPr>
              <w:t xml:space="preserve">Deshalb: Phasen, in denen nur Trockenarbeiten ohne Schadstoffkontakt ausgeführt werden, sollen mindestens ebenso lang sein wie Phasen, in denen Handschuhe getragen werden. </w:t>
            </w:r>
          </w:p>
        </w:tc>
      </w:tr>
      <w:tr w:rsidR="00396DE5" w:rsidRPr="00396DE5" w14:paraId="49DEB993" w14:textId="77777777" w:rsidTr="006F1ED7">
        <w:tblPrEx>
          <w:tblCellMar>
            <w:top w:w="0" w:type="dxa"/>
            <w:bottom w:w="0" w:type="dxa"/>
          </w:tblCellMar>
        </w:tblPrEx>
        <w:trPr>
          <w:trHeight w:val="240"/>
          <w:jc w:val="center"/>
        </w:trPr>
        <w:tc>
          <w:tcPr>
            <w:tcW w:w="3715" w:type="dxa"/>
            <w:shd w:val="clear" w:color="auto" w:fill="92C1CA"/>
          </w:tcPr>
          <w:p w14:paraId="28BF6419" w14:textId="77777777" w:rsidR="00396DE5" w:rsidRPr="00396DE5" w:rsidRDefault="00396DE5" w:rsidP="00396DE5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b/>
                <w:sz w:val="24"/>
              </w:rPr>
            </w:pPr>
            <w:r w:rsidRPr="00396DE5">
              <w:rPr>
                <w:rFonts w:ascii="Arial" w:hAnsi="Arial" w:cs="Arial"/>
                <w:b/>
                <w:sz w:val="24"/>
              </w:rPr>
              <w:t xml:space="preserve">3. Handschuhe sind nur dann zu benutzen, wenn es unbedingt erforderlich ist. </w:t>
            </w:r>
          </w:p>
        </w:tc>
        <w:tc>
          <w:tcPr>
            <w:tcW w:w="6237" w:type="dxa"/>
          </w:tcPr>
          <w:p w14:paraId="516FD22C" w14:textId="77777777" w:rsidR="00396DE5" w:rsidRPr="00396DE5" w:rsidRDefault="00396DE5" w:rsidP="00396DE5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bCs w:val="0"/>
                <w:sz w:val="24"/>
              </w:rPr>
            </w:pPr>
            <w:r w:rsidRPr="00396DE5">
              <w:rPr>
                <w:rFonts w:ascii="Arial" w:hAnsi="Arial" w:cs="Arial"/>
                <w:bCs w:val="0"/>
                <w:sz w:val="24"/>
              </w:rPr>
              <w:t xml:space="preserve">Deshalb: Wenn von der Tätigkeit keine Gefahr für Bewohner oder Personal ausgeht, sollte auf das Tragen der Handschuhe verzichtet werden. </w:t>
            </w:r>
          </w:p>
        </w:tc>
      </w:tr>
      <w:tr w:rsidR="00396DE5" w:rsidRPr="00396DE5" w14:paraId="71C45963" w14:textId="77777777" w:rsidTr="006F1ED7">
        <w:tblPrEx>
          <w:tblCellMar>
            <w:top w:w="0" w:type="dxa"/>
            <w:bottom w:w="0" w:type="dxa"/>
          </w:tblCellMar>
        </w:tblPrEx>
        <w:trPr>
          <w:trHeight w:val="240"/>
          <w:jc w:val="center"/>
        </w:trPr>
        <w:tc>
          <w:tcPr>
            <w:tcW w:w="3715" w:type="dxa"/>
            <w:shd w:val="clear" w:color="auto" w:fill="92C1CA"/>
          </w:tcPr>
          <w:p w14:paraId="1B8D63D3" w14:textId="561929B5" w:rsidR="00396DE5" w:rsidRPr="00396DE5" w:rsidRDefault="00396DE5" w:rsidP="00396DE5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b/>
                <w:sz w:val="24"/>
              </w:rPr>
            </w:pPr>
            <w:r w:rsidRPr="00396DE5">
              <w:rPr>
                <w:rFonts w:ascii="Arial" w:hAnsi="Arial" w:cs="Arial"/>
                <w:b/>
                <w:sz w:val="24"/>
              </w:rPr>
              <w:t xml:space="preserve">4. Bei sensiblen Personen können durch Handschuhe Irritationen ausgelöst werden. </w:t>
            </w:r>
          </w:p>
        </w:tc>
        <w:tc>
          <w:tcPr>
            <w:tcW w:w="6237" w:type="dxa"/>
          </w:tcPr>
          <w:p w14:paraId="1A3B58A4" w14:textId="1436B062" w:rsidR="00396DE5" w:rsidRPr="00396DE5" w:rsidRDefault="00396DE5" w:rsidP="00396DE5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bCs w:val="0"/>
                <w:sz w:val="24"/>
              </w:rPr>
            </w:pPr>
            <w:r w:rsidRPr="00396DE5">
              <w:rPr>
                <w:rFonts w:ascii="Arial" w:hAnsi="Arial" w:cs="Arial"/>
                <w:bCs w:val="0"/>
                <w:sz w:val="24"/>
              </w:rPr>
              <w:t>Deshalb: Bei Hautdefekten an den Händen muss der Haut</w:t>
            </w:r>
            <w:r w:rsidRPr="00396DE5">
              <w:rPr>
                <w:rFonts w:ascii="Arial" w:hAnsi="Arial" w:cs="Arial"/>
                <w:bCs w:val="0"/>
                <w:sz w:val="24"/>
              </w:rPr>
              <w:t xml:space="preserve">- </w:t>
            </w:r>
            <w:r w:rsidRPr="00396DE5">
              <w:rPr>
                <w:rFonts w:ascii="Arial" w:hAnsi="Arial" w:cs="Arial"/>
                <w:bCs w:val="0"/>
                <w:sz w:val="24"/>
              </w:rPr>
              <w:t xml:space="preserve">oder Betriebsarzt aufgesucht werden, um die Ursache untersuchen zu lassen und Abhilfe zu schaffen. </w:t>
            </w:r>
          </w:p>
        </w:tc>
      </w:tr>
      <w:tr w:rsidR="00396DE5" w:rsidRPr="00396DE5" w14:paraId="4818F615" w14:textId="77777777" w:rsidTr="006F1ED7">
        <w:tblPrEx>
          <w:tblCellMar>
            <w:top w:w="0" w:type="dxa"/>
            <w:bottom w:w="0" w:type="dxa"/>
          </w:tblCellMar>
        </w:tblPrEx>
        <w:trPr>
          <w:trHeight w:val="130"/>
          <w:jc w:val="center"/>
        </w:trPr>
        <w:tc>
          <w:tcPr>
            <w:tcW w:w="3715" w:type="dxa"/>
            <w:shd w:val="clear" w:color="auto" w:fill="92C1CA"/>
          </w:tcPr>
          <w:p w14:paraId="14A6304D" w14:textId="77777777" w:rsidR="00396DE5" w:rsidRPr="00396DE5" w:rsidRDefault="00396DE5" w:rsidP="00396DE5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b/>
                <w:sz w:val="24"/>
              </w:rPr>
            </w:pPr>
            <w:r w:rsidRPr="00396DE5">
              <w:rPr>
                <w:rFonts w:ascii="Arial" w:hAnsi="Arial" w:cs="Arial"/>
                <w:b/>
                <w:sz w:val="24"/>
              </w:rPr>
              <w:t xml:space="preserve">5. Trockene Hände können leicht verletzt werden. </w:t>
            </w:r>
          </w:p>
        </w:tc>
        <w:tc>
          <w:tcPr>
            <w:tcW w:w="6237" w:type="dxa"/>
          </w:tcPr>
          <w:p w14:paraId="4697C979" w14:textId="77777777" w:rsidR="00396DE5" w:rsidRPr="00396DE5" w:rsidRDefault="00396DE5" w:rsidP="00396DE5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bCs w:val="0"/>
                <w:sz w:val="24"/>
              </w:rPr>
            </w:pPr>
            <w:r w:rsidRPr="00396DE5">
              <w:rPr>
                <w:rFonts w:ascii="Arial" w:hAnsi="Arial" w:cs="Arial"/>
                <w:bCs w:val="0"/>
                <w:sz w:val="24"/>
              </w:rPr>
              <w:t xml:space="preserve">Deshalb: Achten Sie auf eine gute Hautpflege mit rückfettenden Produkten. </w:t>
            </w:r>
          </w:p>
        </w:tc>
      </w:tr>
    </w:tbl>
    <w:p w14:paraId="7DDDD5AC" w14:textId="77777777" w:rsidR="00396DE5" w:rsidRPr="00251B2B" w:rsidRDefault="00396DE5" w:rsidP="00251B2B">
      <w:pPr>
        <w:pStyle w:val="Listenabsatz"/>
        <w:spacing w:before="120" w:after="120" w:line="276" w:lineRule="auto"/>
        <w:ind w:left="0"/>
        <w:rPr>
          <w:rFonts w:ascii="Arial" w:hAnsi="Arial" w:cs="Arial"/>
          <w:b/>
          <w:bCs w:val="0"/>
          <w:sz w:val="24"/>
        </w:rPr>
      </w:pPr>
    </w:p>
    <w:sectPr w:rsidR="00396DE5" w:rsidRPr="00251B2B" w:rsidSect="00DD1563">
      <w:headerReference w:type="default" r:id="rId9"/>
      <w:pgSz w:w="11906" w:h="16838" w:code="9"/>
      <w:pgMar w:top="-1418" w:right="1418" w:bottom="42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57AD0B" w14:textId="77777777" w:rsidR="00A8481A" w:rsidRDefault="00A8481A" w:rsidP="002A5D13">
      <w:pPr>
        <w:spacing w:after="0" w:line="240" w:lineRule="auto"/>
      </w:pPr>
      <w:r>
        <w:separator/>
      </w:r>
    </w:p>
  </w:endnote>
  <w:endnote w:type="continuationSeparator" w:id="0">
    <w:p w14:paraId="0D4F06D0" w14:textId="77777777" w:rsidR="00A8481A" w:rsidRDefault="00A8481A" w:rsidP="002A5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ans Cond SemBd">
    <w:altName w:val="Noto Sans Cond SemB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BD52BA" w14:textId="77777777" w:rsidR="00A8481A" w:rsidRDefault="00A8481A" w:rsidP="002A5D13">
      <w:pPr>
        <w:spacing w:after="0" w:line="240" w:lineRule="auto"/>
      </w:pPr>
      <w:r>
        <w:separator/>
      </w:r>
    </w:p>
  </w:footnote>
  <w:footnote w:type="continuationSeparator" w:id="0">
    <w:p w14:paraId="5F8F56A5" w14:textId="77777777" w:rsidR="00A8481A" w:rsidRDefault="00A8481A" w:rsidP="002A5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3780"/>
      <w:gridCol w:w="5520"/>
    </w:tblGrid>
    <w:tr w:rsidR="00EE52A9" w14:paraId="457AC501" w14:textId="77777777" w:rsidTr="005D2DB0">
      <w:tc>
        <w:tcPr>
          <w:tcW w:w="2032" w:type="pct"/>
          <w:tcBorders>
            <w:bottom w:val="single" w:sz="4" w:space="0" w:color="auto"/>
          </w:tcBorders>
          <w:shd w:val="clear" w:color="auto" w:fill="750D53"/>
          <w:vAlign w:val="center"/>
        </w:tcPr>
        <w:p w14:paraId="49D372EC" w14:textId="7043D6FF" w:rsidR="00EE52A9" w:rsidRPr="00DD7135" w:rsidRDefault="00EE52A9" w:rsidP="00EE52A9">
          <w:pPr>
            <w:pStyle w:val="Kopfzeile"/>
            <w:jc w:val="center"/>
            <w:rPr>
              <w:b/>
            </w:rPr>
          </w:pPr>
          <w:r w:rsidRPr="00DD7135">
            <w:rPr>
              <w:b/>
              <w:sz w:val="24"/>
            </w:rPr>
            <w:t xml:space="preserve">Ausgabe </w:t>
          </w:r>
          <w:r w:rsidR="00CD5ED9">
            <w:rPr>
              <w:b/>
              <w:sz w:val="24"/>
            </w:rPr>
            <w:t>0</w:t>
          </w:r>
          <w:r w:rsidR="00D86242">
            <w:rPr>
              <w:b/>
              <w:sz w:val="24"/>
            </w:rPr>
            <w:t>6</w:t>
          </w:r>
          <w:r w:rsidRPr="00DD7135">
            <w:rPr>
              <w:b/>
              <w:sz w:val="24"/>
            </w:rPr>
            <w:t xml:space="preserve"> - 202</w:t>
          </w:r>
          <w:r w:rsidR="009F6B38">
            <w:rPr>
              <w:b/>
              <w:sz w:val="24"/>
            </w:rPr>
            <w:t>5</w:t>
          </w:r>
        </w:p>
      </w:tc>
      <w:tc>
        <w:tcPr>
          <w:tcW w:w="2968" w:type="pct"/>
          <w:tcBorders>
            <w:bottom w:val="single" w:sz="4" w:space="0" w:color="auto"/>
          </w:tcBorders>
          <w:shd w:val="clear" w:color="auto" w:fill="7AB3BE"/>
          <w:vAlign w:val="bottom"/>
        </w:tcPr>
        <w:p w14:paraId="4FECAB77" w14:textId="48693FB0" w:rsidR="00EE52A9" w:rsidRPr="00EE52A9" w:rsidRDefault="006F1ED7" w:rsidP="00EE52A9">
          <w:pPr>
            <w:pStyle w:val="Kopfzeile"/>
            <w:jc w:val="center"/>
            <w:rPr>
              <w:rFonts w:ascii="Tahoma" w:hAnsi="Tahoma" w:cs="Tahoma"/>
              <w:b/>
              <w:bCs/>
              <w:color w:val="000000"/>
              <w:sz w:val="16"/>
            </w:rPr>
          </w:pPr>
          <w:r>
            <w:rPr>
              <w:b/>
              <w:noProof/>
              <w:color w:val="FFFFFF"/>
              <w:sz w:val="40"/>
              <w:szCs w:val="24"/>
            </w:rPr>
            <w:pict w14:anchorId="5677AE5E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250" type="#_x0000_t75" style="width:195pt;height:1in;visibility:visible;mso-wrap-style:square">
                <v:imagedata r:id="rId1" o:title=""/>
              </v:shape>
            </w:pict>
          </w:r>
        </w:p>
      </w:tc>
    </w:tr>
  </w:tbl>
  <w:p w14:paraId="61249915" w14:textId="60CF9D08" w:rsidR="007A7CA7" w:rsidRDefault="007A7CA7" w:rsidP="00AD343D">
    <w:pPr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7B176DA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066FAED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96F65064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973D3778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97EC67D5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A661B471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B3E80CE4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BD8F54B3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C7E4B267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E2097B78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EF02F5DA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F54F1B24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FDD67AF9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FFFFFF80"/>
    <w:multiLevelType w:val="singleLevel"/>
    <w:tmpl w:val="627249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4" w15:restartNumberingAfterBreak="0">
    <w:nsid w:val="FFFFFF81"/>
    <w:multiLevelType w:val="singleLevel"/>
    <w:tmpl w:val="BFE433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5" w15:restartNumberingAfterBreak="0">
    <w:nsid w:val="FFFFFF82"/>
    <w:multiLevelType w:val="singleLevel"/>
    <w:tmpl w:val="E95284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6" w15:restartNumberingAfterBreak="0">
    <w:nsid w:val="FFFFFF83"/>
    <w:multiLevelType w:val="singleLevel"/>
    <w:tmpl w:val="811EDF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7" w15:restartNumberingAfterBreak="0">
    <w:nsid w:val="FFFFFF89"/>
    <w:multiLevelType w:val="singleLevel"/>
    <w:tmpl w:val="62668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04624C95"/>
    <w:multiLevelType w:val="hybridMultilevel"/>
    <w:tmpl w:val="834EF1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1E95869"/>
    <w:multiLevelType w:val="hybridMultilevel"/>
    <w:tmpl w:val="E97E055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ED6A974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1F11047B"/>
    <w:multiLevelType w:val="hybridMultilevel"/>
    <w:tmpl w:val="03ECEE9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2E443233"/>
    <w:multiLevelType w:val="hybridMultilevel"/>
    <w:tmpl w:val="33B88B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6127CBB"/>
    <w:multiLevelType w:val="hybridMultilevel"/>
    <w:tmpl w:val="C32E3A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B3B0040"/>
    <w:multiLevelType w:val="hybridMultilevel"/>
    <w:tmpl w:val="72301DB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DA270C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 w15:restartNumberingAfterBreak="0">
    <w:nsid w:val="498D7D93"/>
    <w:multiLevelType w:val="hybridMultilevel"/>
    <w:tmpl w:val="A1F49D8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644C20"/>
    <w:multiLevelType w:val="hybridMultilevel"/>
    <w:tmpl w:val="5DCA96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9F310C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" w15:restartNumberingAfterBreak="0">
    <w:nsid w:val="512BD294"/>
    <w:multiLevelType w:val="multilevel"/>
    <w:tmpl w:val="512BD294"/>
    <w:name w:val="Nummerierungsliste 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0" w15:restartNumberingAfterBreak="0">
    <w:nsid w:val="51862F0E"/>
    <w:multiLevelType w:val="multilevel"/>
    <w:tmpl w:val="51862F0E"/>
    <w:name w:val="Nummerierungsliste 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31" w15:restartNumberingAfterBreak="0">
    <w:nsid w:val="51862F0F"/>
    <w:multiLevelType w:val="multilevel"/>
    <w:tmpl w:val="51862F0F"/>
    <w:name w:val="Nummerierungsliste 3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32" w15:restartNumberingAfterBreak="0">
    <w:nsid w:val="51862F10"/>
    <w:multiLevelType w:val="multilevel"/>
    <w:tmpl w:val="51862F10"/>
    <w:name w:val="Nummerierungsliste 4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33" w15:restartNumberingAfterBreak="0">
    <w:nsid w:val="51862F13"/>
    <w:multiLevelType w:val="multilevel"/>
    <w:tmpl w:val="51862F13"/>
    <w:name w:val="Nummerierungsliste 7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34" w15:restartNumberingAfterBreak="0">
    <w:nsid w:val="51862F16"/>
    <w:multiLevelType w:val="multilevel"/>
    <w:tmpl w:val="51862F16"/>
    <w:name w:val="Nummerierungsliste 10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35" w15:restartNumberingAfterBreak="0">
    <w:nsid w:val="51862F18"/>
    <w:multiLevelType w:val="multilevel"/>
    <w:tmpl w:val="51862F18"/>
    <w:name w:val="Nummerierungsliste 1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36" w15:restartNumberingAfterBreak="0">
    <w:nsid w:val="54D35FDE"/>
    <w:multiLevelType w:val="hybridMultilevel"/>
    <w:tmpl w:val="5FBC30F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C15F534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8" w15:restartNumberingAfterBreak="0">
    <w:nsid w:val="5D1A7516"/>
    <w:multiLevelType w:val="hybridMultilevel"/>
    <w:tmpl w:val="525AAA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03218BC"/>
    <w:multiLevelType w:val="hybridMultilevel"/>
    <w:tmpl w:val="1EE8F9D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38977B1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1" w15:restartNumberingAfterBreak="0">
    <w:nsid w:val="662E8A03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2" w15:restartNumberingAfterBreak="0">
    <w:nsid w:val="6BFD08E6"/>
    <w:multiLevelType w:val="hybridMultilevel"/>
    <w:tmpl w:val="2F96133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E0DD9F9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4" w15:restartNumberingAfterBreak="0">
    <w:nsid w:val="77C5079F"/>
    <w:multiLevelType w:val="hybridMultilevel"/>
    <w:tmpl w:val="09C892A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29385842">
    <w:abstractNumId w:val="24"/>
  </w:num>
  <w:num w:numId="2" w16cid:durableId="1411197066">
    <w:abstractNumId w:val="36"/>
  </w:num>
  <w:num w:numId="3" w16cid:durableId="1013873184">
    <w:abstractNumId w:val="44"/>
  </w:num>
  <w:num w:numId="4" w16cid:durableId="1873692900">
    <w:abstractNumId w:val="26"/>
  </w:num>
  <w:num w:numId="5" w16cid:durableId="1061439486">
    <w:abstractNumId w:val="19"/>
  </w:num>
  <w:num w:numId="6" w16cid:durableId="1067994324">
    <w:abstractNumId w:val="22"/>
  </w:num>
  <w:num w:numId="7" w16cid:durableId="635915406">
    <w:abstractNumId w:val="29"/>
  </w:num>
  <w:num w:numId="8" w16cid:durableId="388842303">
    <w:abstractNumId w:val="27"/>
  </w:num>
  <w:num w:numId="9" w16cid:durableId="2040087022">
    <w:abstractNumId w:val="23"/>
  </w:num>
  <w:num w:numId="10" w16cid:durableId="1627810779">
    <w:abstractNumId w:val="18"/>
  </w:num>
  <w:num w:numId="11" w16cid:durableId="1898589892">
    <w:abstractNumId w:val="38"/>
  </w:num>
  <w:num w:numId="12" w16cid:durableId="665061390">
    <w:abstractNumId w:val="31"/>
  </w:num>
  <w:num w:numId="13" w16cid:durableId="636688082">
    <w:abstractNumId w:val="32"/>
  </w:num>
  <w:num w:numId="14" w16cid:durableId="1102454431">
    <w:abstractNumId w:val="30"/>
  </w:num>
  <w:num w:numId="15" w16cid:durableId="98456063">
    <w:abstractNumId w:val="33"/>
  </w:num>
  <w:num w:numId="16" w16cid:durableId="1315140221">
    <w:abstractNumId w:val="34"/>
  </w:num>
  <w:num w:numId="17" w16cid:durableId="420833239">
    <w:abstractNumId w:val="35"/>
  </w:num>
  <w:num w:numId="18" w16cid:durableId="845437745">
    <w:abstractNumId w:val="17"/>
  </w:num>
  <w:num w:numId="19" w16cid:durableId="761561054">
    <w:abstractNumId w:val="16"/>
  </w:num>
  <w:num w:numId="20" w16cid:durableId="1681423874">
    <w:abstractNumId w:val="15"/>
  </w:num>
  <w:num w:numId="21" w16cid:durableId="1050610695">
    <w:abstractNumId w:val="14"/>
  </w:num>
  <w:num w:numId="22" w16cid:durableId="1982537233">
    <w:abstractNumId w:val="13"/>
  </w:num>
  <w:num w:numId="23" w16cid:durableId="943539919">
    <w:abstractNumId w:val="11"/>
  </w:num>
  <w:num w:numId="24" w16cid:durableId="968323685">
    <w:abstractNumId w:val="43"/>
  </w:num>
  <w:num w:numId="25" w16cid:durableId="66195936">
    <w:abstractNumId w:val="39"/>
  </w:num>
  <w:num w:numId="26" w16cid:durableId="647321494">
    <w:abstractNumId w:val="10"/>
  </w:num>
  <w:num w:numId="27" w16cid:durableId="1443259289">
    <w:abstractNumId w:val="7"/>
  </w:num>
  <w:num w:numId="28" w16cid:durableId="911887894">
    <w:abstractNumId w:val="2"/>
  </w:num>
  <w:num w:numId="29" w16cid:durableId="1603494929">
    <w:abstractNumId w:val="5"/>
  </w:num>
  <w:num w:numId="30" w16cid:durableId="481166735">
    <w:abstractNumId w:val="0"/>
  </w:num>
  <w:num w:numId="31" w16cid:durableId="2067147762">
    <w:abstractNumId w:val="9"/>
  </w:num>
  <w:num w:numId="32" w16cid:durableId="759838799">
    <w:abstractNumId w:val="4"/>
  </w:num>
  <w:num w:numId="33" w16cid:durableId="1969698338">
    <w:abstractNumId w:val="40"/>
  </w:num>
  <w:num w:numId="34" w16cid:durableId="1652514720">
    <w:abstractNumId w:val="6"/>
  </w:num>
  <w:num w:numId="35" w16cid:durableId="1440300495">
    <w:abstractNumId w:val="28"/>
  </w:num>
  <w:num w:numId="36" w16cid:durableId="1941716334">
    <w:abstractNumId w:val="20"/>
  </w:num>
  <w:num w:numId="37" w16cid:durableId="1440443802">
    <w:abstractNumId w:val="3"/>
  </w:num>
  <w:num w:numId="38" w16cid:durableId="1791972085">
    <w:abstractNumId w:val="12"/>
  </w:num>
  <w:num w:numId="39" w16cid:durableId="1501236065">
    <w:abstractNumId w:val="1"/>
  </w:num>
  <w:num w:numId="40" w16cid:durableId="963927041">
    <w:abstractNumId w:val="37"/>
  </w:num>
  <w:num w:numId="41" w16cid:durableId="1684824023">
    <w:abstractNumId w:val="25"/>
  </w:num>
  <w:num w:numId="42" w16cid:durableId="358093070">
    <w:abstractNumId w:val="42"/>
  </w:num>
  <w:num w:numId="43" w16cid:durableId="954017079">
    <w:abstractNumId w:val="41"/>
  </w:num>
  <w:num w:numId="44" w16cid:durableId="2132939797">
    <w:abstractNumId w:val="8"/>
  </w:num>
  <w:num w:numId="45" w16cid:durableId="181968954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evenAndOddHeaders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8515F"/>
    <w:rsid w:val="00022C51"/>
    <w:rsid w:val="00032A0C"/>
    <w:rsid w:val="00054D90"/>
    <w:rsid w:val="00067069"/>
    <w:rsid w:val="00070D06"/>
    <w:rsid w:val="00074E69"/>
    <w:rsid w:val="000B50CC"/>
    <w:rsid w:val="000C6A2D"/>
    <w:rsid w:val="0013341F"/>
    <w:rsid w:val="0015409B"/>
    <w:rsid w:val="001B429B"/>
    <w:rsid w:val="001C7EA6"/>
    <w:rsid w:val="00205D0C"/>
    <w:rsid w:val="00212149"/>
    <w:rsid w:val="00251B2B"/>
    <w:rsid w:val="0027096C"/>
    <w:rsid w:val="002766CF"/>
    <w:rsid w:val="0028515F"/>
    <w:rsid w:val="002A5853"/>
    <w:rsid w:val="002A5D13"/>
    <w:rsid w:val="002B029B"/>
    <w:rsid w:val="002B4419"/>
    <w:rsid w:val="002D45E4"/>
    <w:rsid w:val="002E4378"/>
    <w:rsid w:val="002F7B4F"/>
    <w:rsid w:val="003676E3"/>
    <w:rsid w:val="00380EF0"/>
    <w:rsid w:val="00381B16"/>
    <w:rsid w:val="00396DE5"/>
    <w:rsid w:val="003E3400"/>
    <w:rsid w:val="003F6947"/>
    <w:rsid w:val="003F7551"/>
    <w:rsid w:val="00410822"/>
    <w:rsid w:val="0042075B"/>
    <w:rsid w:val="00433F51"/>
    <w:rsid w:val="00436E01"/>
    <w:rsid w:val="004639C0"/>
    <w:rsid w:val="004955F6"/>
    <w:rsid w:val="004A47F9"/>
    <w:rsid w:val="004C2396"/>
    <w:rsid w:val="0050689E"/>
    <w:rsid w:val="00547B8D"/>
    <w:rsid w:val="00551B88"/>
    <w:rsid w:val="005847A6"/>
    <w:rsid w:val="00587D31"/>
    <w:rsid w:val="005B4711"/>
    <w:rsid w:val="005C1DE3"/>
    <w:rsid w:val="005D5069"/>
    <w:rsid w:val="005E1850"/>
    <w:rsid w:val="005F2944"/>
    <w:rsid w:val="00614D0A"/>
    <w:rsid w:val="00634BB8"/>
    <w:rsid w:val="00653E72"/>
    <w:rsid w:val="00661981"/>
    <w:rsid w:val="006A5CFE"/>
    <w:rsid w:val="006E18EF"/>
    <w:rsid w:val="006F066B"/>
    <w:rsid w:val="006F1ED7"/>
    <w:rsid w:val="006F3A3E"/>
    <w:rsid w:val="00726F02"/>
    <w:rsid w:val="00757C3F"/>
    <w:rsid w:val="00782522"/>
    <w:rsid w:val="007A7CA7"/>
    <w:rsid w:val="007B0290"/>
    <w:rsid w:val="007C0AE5"/>
    <w:rsid w:val="007E1A2E"/>
    <w:rsid w:val="00841FA8"/>
    <w:rsid w:val="00852BFB"/>
    <w:rsid w:val="0085519C"/>
    <w:rsid w:val="008633AC"/>
    <w:rsid w:val="00887070"/>
    <w:rsid w:val="008B1F83"/>
    <w:rsid w:val="008E62B1"/>
    <w:rsid w:val="00937B0B"/>
    <w:rsid w:val="009433D9"/>
    <w:rsid w:val="00983536"/>
    <w:rsid w:val="009A62FA"/>
    <w:rsid w:val="009B721F"/>
    <w:rsid w:val="009C2E59"/>
    <w:rsid w:val="009F6B38"/>
    <w:rsid w:val="00A06C64"/>
    <w:rsid w:val="00A8481A"/>
    <w:rsid w:val="00AC136E"/>
    <w:rsid w:val="00AD343D"/>
    <w:rsid w:val="00AE0A58"/>
    <w:rsid w:val="00B01FFE"/>
    <w:rsid w:val="00B31A35"/>
    <w:rsid w:val="00B707AF"/>
    <w:rsid w:val="00B87D52"/>
    <w:rsid w:val="00BD71E9"/>
    <w:rsid w:val="00C135D1"/>
    <w:rsid w:val="00C310AF"/>
    <w:rsid w:val="00C73E1A"/>
    <w:rsid w:val="00CC38C8"/>
    <w:rsid w:val="00CD5ED9"/>
    <w:rsid w:val="00D86187"/>
    <w:rsid w:val="00D86242"/>
    <w:rsid w:val="00DB32C7"/>
    <w:rsid w:val="00DD1563"/>
    <w:rsid w:val="00E1355A"/>
    <w:rsid w:val="00E2265E"/>
    <w:rsid w:val="00EB5C84"/>
    <w:rsid w:val="00ED3984"/>
    <w:rsid w:val="00EE52A9"/>
    <w:rsid w:val="00EF6ADE"/>
    <w:rsid w:val="00F20663"/>
    <w:rsid w:val="00F224C8"/>
    <w:rsid w:val="00F32030"/>
    <w:rsid w:val="00FA19D7"/>
    <w:rsid w:val="00FB3A5A"/>
    <w:rsid w:val="00FC2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  <w14:docId w14:val="612498F3"/>
  <w15:chartTrackingRefBased/>
  <w15:docId w15:val="{06DDCC91-9BD3-489E-82C0-92CF333EF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87D52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515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berschrift2">
    <w:name w:val="heading 2"/>
    <w:basedOn w:val="Standard"/>
    <w:link w:val="berschrift2Zchn"/>
    <w:uiPriority w:val="9"/>
    <w:qFormat/>
    <w:rsid w:val="002851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de-DE"/>
    </w:rPr>
  </w:style>
  <w:style w:type="paragraph" w:styleId="berschrift3">
    <w:name w:val="heading 3"/>
    <w:basedOn w:val="Standard"/>
    <w:link w:val="berschrift3Zchn"/>
    <w:uiPriority w:val="9"/>
    <w:qFormat/>
    <w:rsid w:val="002851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de-DE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2851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28515F"/>
    <w:rPr>
      <w:b/>
      <w:bCs/>
    </w:rPr>
  </w:style>
  <w:style w:type="character" w:customStyle="1" w:styleId="berschrift2Zchn">
    <w:name w:val="Überschrift 2 Zchn"/>
    <w:link w:val="berschrift2"/>
    <w:uiPriority w:val="9"/>
    <w:rsid w:val="0028515F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link w:val="berschrift3"/>
    <w:uiPriority w:val="9"/>
    <w:rsid w:val="0028515F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berschrift1Zchn">
    <w:name w:val="Überschrift 1 Zchn"/>
    <w:link w:val="berschrift1"/>
    <w:uiPriority w:val="9"/>
    <w:rsid w:val="0028515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285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de-DE"/>
    </w:rPr>
  </w:style>
  <w:style w:type="character" w:customStyle="1" w:styleId="HTMLVorformatiertZchn">
    <w:name w:val="HTML Vorformatiert Zchn"/>
    <w:link w:val="HTMLVorformatiert"/>
    <w:uiPriority w:val="99"/>
    <w:semiHidden/>
    <w:rsid w:val="0028515F"/>
    <w:rPr>
      <w:rFonts w:ascii="Courier New" w:eastAsia="Times New Roman" w:hAnsi="Courier New" w:cs="Courier New"/>
      <w:sz w:val="20"/>
      <w:szCs w:val="20"/>
      <w:lang w:eastAsia="de-DE"/>
    </w:rPr>
  </w:style>
  <w:style w:type="table" w:customStyle="1" w:styleId="Tabellengitternetz">
    <w:name w:val="Tabellengitternetz"/>
    <w:basedOn w:val="NormaleTabelle"/>
    <w:uiPriority w:val="59"/>
    <w:rsid w:val="00285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5D13"/>
  </w:style>
  <w:style w:type="paragraph" w:styleId="Fuzeile">
    <w:name w:val="footer"/>
    <w:basedOn w:val="Standard"/>
    <w:link w:val="Fu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5D1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5D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2A5D1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61981"/>
    <w:pPr>
      <w:spacing w:after="0" w:line="240" w:lineRule="auto"/>
      <w:ind w:left="720"/>
      <w:contextualSpacing/>
    </w:pPr>
    <w:rPr>
      <w:rFonts w:ascii="Times New Roman" w:eastAsia="Times New Roman" w:hAnsi="Times New Roman"/>
      <w:bCs/>
      <w:sz w:val="20"/>
      <w:szCs w:val="24"/>
      <w:lang w:eastAsia="de-DE"/>
    </w:rPr>
  </w:style>
  <w:style w:type="paragraph" w:customStyle="1" w:styleId="Default">
    <w:name w:val="Default"/>
    <w:rsid w:val="00DD1563"/>
    <w:pPr>
      <w:autoSpaceDE w:val="0"/>
      <w:autoSpaceDN w:val="0"/>
      <w:adjustRightInd w:val="0"/>
    </w:pPr>
    <w:rPr>
      <w:rFonts w:ascii="Noto Sans Cond SemBd" w:hAnsi="Noto Sans Cond SemBd" w:cs="Noto Sans Cond SemBd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DD1563"/>
    <w:pPr>
      <w:spacing w:line="181" w:lineRule="atLeast"/>
    </w:pPr>
    <w:rPr>
      <w:rFonts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Ausgabe 01 - 2014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956FDC3-9DC7-4DF6-8315-4C77AE1FD9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Praxis: Soziale Betreuung</vt:lpstr>
    </vt:vector>
  </TitlesOfParts>
  <Company>Microsoft</Company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Praxis: Soziale Betreuung</dc:title>
  <dc:subject/>
  <dc:creator>Dominik Muhle</dc:creator>
  <cp:keywords/>
  <cp:lastModifiedBy>Korinna Wulfinghoff</cp:lastModifiedBy>
  <cp:revision>3</cp:revision>
  <cp:lastPrinted>2013-12-09T11:30:00Z</cp:lastPrinted>
  <dcterms:created xsi:type="dcterms:W3CDTF">2025-06-03T12:46:00Z</dcterms:created>
  <dcterms:modified xsi:type="dcterms:W3CDTF">2025-06-03T12:47:00Z</dcterms:modified>
</cp:coreProperties>
</file>