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95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5F4F9"/>
        <w:tblLook w:val="04A0" w:firstRow="1" w:lastRow="0" w:firstColumn="1" w:lastColumn="0" w:noHBand="0" w:noVBand="1"/>
      </w:tblPr>
      <w:tblGrid>
        <w:gridCol w:w="2655"/>
        <w:gridCol w:w="6857"/>
      </w:tblGrid>
      <w:tr w:rsidR="00FF2CBC" w14:paraId="6B2B26D4" w14:textId="77777777" w:rsidTr="00FF2CBC">
        <w:trPr>
          <w:trHeight w:val="629"/>
        </w:trPr>
        <w:tc>
          <w:tcPr>
            <w:tcW w:w="9512" w:type="dxa"/>
            <w:gridSpan w:val="2"/>
            <w:shd w:val="clear" w:color="auto" w:fill="9E95BD"/>
            <w:tcMar>
              <w:top w:w="57" w:type="dxa"/>
              <w:bottom w:w="57" w:type="dxa"/>
            </w:tcMar>
          </w:tcPr>
          <w:p w14:paraId="4889D7DD" w14:textId="77777777" w:rsidR="00FF2CBC" w:rsidRPr="00A74537" w:rsidRDefault="00FF2CBC" w:rsidP="005E3133">
            <w:pPr>
              <w:pStyle w:val="TabelleHead"/>
              <w:jc w:val="center"/>
              <w:rPr>
                <w:i w:val="0"/>
                <w:lang w:val="de-DE"/>
              </w:rPr>
            </w:pPr>
            <w:bookmarkStart w:id="0" w:name="_Hlk198998145"/>
            <w:proofErr w:type="spellStart"/>
            <w:r w:rsidRPr="00FF2CBC">
              <w:rPr>
                <w:i w:val="0"/>
                <w:sz w:val="32"/>
                <w:szCs w:val="32"/>
              </w:rPr>
              <w:t>Übersicht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: 6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Vorteile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der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Verwendung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von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transdermalen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Schmerzpflastern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bei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Menschen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mit</w:t>
            </w:r>
            <w:proofErr w:type="spellEnd"/>
            <w:r w:rsidRPr="00FF2CBC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FF2CBC">
              <w:rPr>
                <w:i w:val="0"/>
                <w:sz w:val="32"/>
                <w:szCs w:val="32"/>
              </w:rPr>
              <w:t>Demenz</w:t>
            </w:r>
            <w:proofErr w:type="spellEnd"/>
          </w:p>
        </w:tc>
      </w:tr>
      <w:tr w:rsidR="00FF2CBC" w14:paraId="3BBEE080" w14:textId="77777777" w:rsidTr="00FF2CBC">
        <w:trPr>
          <w:trHeight w:val="314"/>
        </w:trPr>
        <w:tc>
          <w:tcPr>
            <w:tcW w:w="2655" w:type="dxa"/>
            <w:shd w:val="clear" w:color="auto" w:fill="9E95BD"/>
            <w:tcMar>
              <w:top w:w="57" w:type="dxa"/>
              <w:bottom w:w="57" w:type="dxa"/>
            </w:tcMar>
          </w:tcPr>
          <w:p w14:paraId="717D8248" w14:textId="77777777" w:rsidR="00FF2CBC" w:rsidRPr="00FF2CBC" w:rsidRDefault="00FF2CBC" w:rsidP="005E3133">
            <w:pPr>
              <w:pStyle w:val="TabelleHead"/>
              <w:jc w:val="center"/>
              <w:rPr>
                <w:i w:val="0"/>
                <w:sz w:val="28"/>
                <w:szCs w:val="28"/>
              </w:rPr>
            </w:pPr>
            <w:r w:rsidRPr="00FF2CBC">
              <w:rPr>
                <w:i w:val="0"/>
                <w:sz w:val="28"/>
                <w:szCs w:val="28"/>
              </w:rPr>
              <w:t xml:space="preserve">6 </w:t>
            </w:r>
            <w:proofErr w:type="spellStart"/>
            <w:r w:rsidRPr="00FF2CBC">
              <w:rPr>
                <w:i w:val="0"/>
                <w:sz w:val="28"/>
                <w:szCs w:val="28"/>
              </w:rPr>
              <w:t>Vorteile</w:t>
            </w:r>
            <w:proofErr w:type="spellEnd"/>
            <w:r w:rsidRPr="00FF2CBC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856" w:type="dxa"/>
            <w:shd w:val="clear" w:color="auto" w:fill="9E95BD"/>
            <w:tcMar>
              <w:top w:w="57" w:type="dxa"/>
              <w:bottom w:w="57" w:type="dxa"/>
            </w:tcMar>
          </w:tcPr>
          <w:p w14:paraId="76FBFA51" w14:textId="77777777" w:rsidR="00FF2CBC" w:rsidRPr="00FF2CBC" w:rsidRDefault="00FF2CBC" w:rsidP="005E3133">
            <w:pPr>
              <w:pStyle w:val="TabelleHead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F2CBC">
              <w:rPr>
                <w:i w:val="0"/>
                <w:sz w:val="28"/>
                <w:szCs w:val="28"/>
              </w:rPr>
              <w:t>Erklärung</w:t>
            </w:r>
            <w:proofErr w:type="spellEnd"/>
          </w:p>
        </w:tc>
      </w:tr>
      <w:tr w:rsidR="00FF2CBC" w14:paraId="7CB6E074" w14:textId="77777777" w:rsidTr="00FF2CBC">
        <w:trPr>
          <w:trHeight w:val="43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24B757B5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</w:rPr>
            </w:pPr>
            <w:proofErr w:type="spellStart"/>
            <w:r w:rsidRPr="00FF2CBC">
              <w:rPr>
                <w:sz w:val="24"/>
                <w:szCs w:val="24"/>
              </w:rPr>
              <w:t>Schluckstörungen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umgehen</w:t>
            </w:r>
            <w:proofErr w:type="spellEnd"/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28AC7FFD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Im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Spätstadium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häufig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Dysphagie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Schluckstörung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erschwert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Tabletteneinnahme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oder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macht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sie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unmöglich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. Pflaster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umgehen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den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Schluckweg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F2CBC" w14:paraId="45412C0F" w14:textId="77777777" w:rsidTr="00FF2CBC">
        <w:trPr>
          <w:trHeight w:val="65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0ECDB04A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</w:rPr>
            </w:pPr>
            <w:proofErr w:type="spellStart"/>
            <w:r w:rsidRPr="00FF2CBC">
              <w:rPr>
                <w:sz w:val="24"/>
                <w:szCs w:val="24"/>
              </w:rPr>
              <w:t>Konstante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Wirkstofffreisetzung</w:t>
            </w:r>
            <w:proofErr w:type="spellEnd"/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03F0BAF6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r w:rsidRPr="00FF2CBC">
              <w:rPr>
                <w:b w:val="0"/>
                <w:bCs w:val="0"/>
                <w:sz w:val="24"/>
                <w:szCs w:val="24"/>
              </w:rPr>
              <w:t xml:space="preserve">Pflaster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geben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über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Tage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gleichmäßig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Wirkstoff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ab →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weniger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Schmerzspitzen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keine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FF2CBC">
              <w:rPr>
                <w:b w:val="0"/>
                <w:bCs w:val="0"/>
                <w:sz w:val="24"/>
                <w:szCs w:val="24"/>
              </w:rPr>
              <w:t>Vergessen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>“</w:t>
            </w:r>
            <w:proofErr w:type="gramEnd"/>
            <w:r w:rsidRPr="00FF2CBC">
              <w:rPr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Lücken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und die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Problematik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möglicher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Verweigerung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der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Einnahme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wird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umgangen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w:rsidR="00FF2CBC" w14:paraId="015E32C3" w14:textId="77777777" w:rsidTr="00FF2CBC">
        <w:trPr>
          <w:trHeight w:val="43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70441A3B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</w:rPr>
            </w:pPr>
            <w:r w:rsidRPr="00FF2CBC">
              <w:rPr>
                <w:sz w:val="24"/>
                <w:szCs w:val="24"/>
              </w:rPr>
              <w:t xml:space="preserve">Weniger </w:t>
            </w:r>
            <w:proofErr w:type="spellStart"/>
            <w:r w:rsidRPr="00FF2CBC">
              <w:rPr>
                <w:sz w:val="24"/>
                <w:szCs w:val="24"/>
              </w:rPr>
              <w:t>Interaktionen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mit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Nahrung</w:t>
            </w:r>
            <w:proofErr w:type="spellEnd"/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7FAF4104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Orale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Medikamente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können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durch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Essen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oder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Magenprobleme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beeinträchtigt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werden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–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transdermale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Systeme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nicht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F2CBC" w14:paraId="26F5B7BB" w14:textId="77777777" w:rsidTr="00FF2CBC">
        <w:trPr>
          <w:trHeight w:val="43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15CE2382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  <w:lang w:val="de-DE"/>
              </w:rPr>
            </w:pPr>
            <w:r w:rsidRPr="00FF2CBC">
              <w:rPr>
                <w:sz w:val="24"/>
                <w:szCs w:val="24"/>
                <w:lang w:val="de-DE"/>
              </w:rPr>
              <w:t>Keine Belastung des Magen-Darm-Trakts</w:t>
            </w:r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2034DC57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Schonung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des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Magens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–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besonders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wichtig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bei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multimorbiden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Menschen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mit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Demenz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und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Ulzera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oder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Gastritis.</w:t>
            </w:r>
          </w:p>
        </w:tc>
      </w:tr>
      <w:tr w:rsidR="00FF2CBC" w14:paraId="222830B1" w14:textId="77777777" w:rsidTr="00FF2CBC">
        <w:trPr>
          <w:trHeight w:val="43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3B965305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</w:rPr>
            </w:pPr>
            <w:proofErr w:type="spellStart"/>
            <w:r w:rsidRPr="00FF2CBC">
              <w:rPr>
                <w:sz w:val="24"/>
                <w:szCs w:val="24"/>
              </w:rPr>
              <w:t>Bessere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Kontrolle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bei</w:t>
            </w:r>
            <w:proofErr w:type="spellEnd"/>
            <w:r w:rsidRPr="00FF2CBC">
              <w:rPr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sz w:val="24"/>
                <w:szCs w:val="24"/>
              </w:rPr>
              <w:t>Unruhe</w:t>
            </w:r>
            <w:proofErr w:type="spellEnd"/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10FBACFD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r w:rsidRPr="00FF2CBC">
              <w:rPr>
                <w:b w:val="0"/>
                <w:bCs w:val="0"/>
                <w:sz w:val="24"/>
                <w:szCs w:val="24"/>
              </w:rPr>
              <w:t xml:space="preserve">Menschen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mit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Demenz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vergessen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oft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Tabletten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oder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spucken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sie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aus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– Pflaster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bleiben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wirksam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F2CBC" w14:paraId="67198198" w14:textId="77777777" w:rsidTr="00FF2CBC">
        <w:trPr>
          <w:trHeight w:val="640"/>
        </w:trPr>
        <w:tc>
          <w:tcPr>
            <w:tcW w:w="2655" w:type="dxa"/>
            <w:shd w:val="clear" w:color="auto" w:fill="CDC8DD"/>
            <w:tcMar>
              <w:top w:w="57" w:type="dxa"/>
              <w:bottom w:w="57" w:type="dxa"/>
            </w:tcMar>
          </w:tcPr>
          <w:p w14:paraId="7AE0B46A" w14:textId="77777777" w:rsidR="00FF2CBC" w:rsidRPr="00FF2CBC" w:rsidRDefault="00FF2CBC" w:rsidP="005E3133">
            <w:pPr>
              <w:pStyle w:val="TabelleSubhead"/>
              <w:rPr>
                <w:sz w:val="24"/>
                <w:szCs w:val="24"/>
                <w:lang w:val="de-DE"/>
              </w:rPr>
            </w:pPr>
            <w:r w:rsidRPr="00FF2CBC">
              <w:rPr>
                <w:sz w:val="24"/>
                <w:szCs w:val="24"/>
                <w:lang w:val="de-DE"/>
              </w:rPr>
              <w:t>Günstigeres Nebenwirkungsprofil (je nach Wirkstoff)</w:t>
            </w:r>
          </w:p>
        </w:tc>
        <w:tc>
          <w:tcPr>
            <w:tcW w:w="6856" w:type="dxa"/>
            <w:shd w:val="clear" w:color="auto" w:fill="F5F4F9"/>
            <w:tcMar>
              <w:top w:w="57" w:type="dxa"/>
              <w:bottom w:w="57" w:type="dxa"/>
            </w:tcMar>
          </w:tcPr>
          <w:p w14:paraId="1976369A" w14:textId="77777777" w:rsidR="00FF2CBC" w:rsidRPr="00FF2CBC" w:rsidRDefault="00FF2CBC" w:rsidP="005E3133">
            <w:pPr>
              <w:pStyle w:val="TabelleSubhead"/>
              <w:rPr>
                <w:b w:val="0"/>
                <w:bCs w:val="0"/>
                <w:sz w:val="24"/>
                <w:szCs w:val="24"/>
                <w:lang w:val="de-DE"/>
              </w:rPr>
            </w:pP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Buprenorphin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z. B. hat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ein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geringeres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Risiko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für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Atemdepression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oder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Sedierung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als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manche </w:t>
            </w:r>
            <w:proofErr w:type="spellStart"/>
            <w:r w:rsidRPr="00FF2CBC">
              <w:rPr>
                <w:b w:val="0"/>
                <w:bCs w:val="0"/>
                <w:sz w:val="24"/>
                <w:szCs w:val="24"/>
              </w:rPr>
              <w:t>orale</w:t>
            </w:r>
            <w:proofErr w:type="spellEnd"/>
            <w:r w:rsidRPr="00FF2CBC">
              <w:rPr>
                <w:b w:val="0"/>
                <w:bCs w:val="0"/>
                <w:sz w:val="24"/>
                <w:szCs w:val="24"/>
              </w:rPr>
              <w:t xml:space="preserve"> Opioide.</w:t>
            </w:r>
          </w:p>
        </w:tc>
      </w:tr>
      <w:bookmarkEnd w:id="0"/>
    </w:tbl>
    <w:p w14:paraId="155DB7C3" w14:textId="3CD9A6EF" w:rsidR="00275440" w:rsidRDefault="00275440"/>
    <w:sectPr w:rsidR="00275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"/>
  </w:num>
  <w:num w:numId="2" w16cid:durableId="1981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0650C1"/>
    <w:rsid w:val="001B55D9"/>
    <w:rsid w:val="00275440"/>
    <w:rsid w:val="00401FCD"/>
    <w:rsid w:val="00733B41"/>
    <w:rsid w:val="007E1FE7"/>
    <w:rsid w:val="009262D4"/>
    <w:rsid w:val="00945DC8"/>
    <w:rsid w:val="009D3A29"/>
    <w:rsid w:val="00F044D8"/>
    <w:rsid w:val="00F639B9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11F25176-2431-4361-9127-B04533D49294}"/>
</file>

<file path=customXml/itemProps2.xml><?xml version="1.0" encoding="utf-8"?>
<ds:datastoreItem xmlns:ds="http://schemas.openxmlformats.org/officeDocument/2006/customXml" ds:itemID="{71BFBD27-99FD-4ADA-A3D6-440D1D0CDA05}"/>
</file>

<file path=customXml/itemProps3.xml><?xml version="1.0" encoding="utf-8"?>
<ds:datastoreItem xmlns:ds="http://schemas.openxmlformats.org/officeDocument/2006/customXml" ds:itemID="{FB84253D-5EFB-4082-91AA-0187982FF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3</cp:revision>
  <dcterms:created xsi:type="dcterms:W3CDTF">2025-07-28T08:40:00Z</dcterms:created>
  <dcterms:modified xsi:type="dcterms:W3CDTF">2025-07-28T08:40:00Z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