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Pr="00D2683D" w:rsidRDefault="007A7CA7" w:rsidP="007A7CA7">
      <w:pPr>
        <w:tabs>
          <w:tab w:val="left" w:pos="5280"/>
        </w:tabs>
        <w:rPr>
          <w:b/>
          <w:lang w:eastAsia="de-DE"/>
        </w:rPr>
      </w:pPr>
      <w:r w:rsidRPr="00D2683D">
        <w:rPr>
          <w:b/>
          <w:lang w:eastAsia="de-DE"/>
        </w:rPr>
        <w:tab/>
      </w:r>
    </w:p>
    <w:p w14:paraId="612498F4" w14:textId="77777777" w:rsidR="00C73E1A" w:rsidRPr="00D2683D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 w:rsidRPr="00D2683D">
        <w:tab/>
      </w:r>
      <w:r w:rsidR="005E1850" w:rsidRPr="00D2683D">
        <w:tab/>
      </w:r>
      <w:r w:rsidRPr="00D2683D">
        <w:tab/>
      </w:r>
      <w:r w:rsidR="00B707AF" w:rsidRPr="00D2683D">
        <w:tab/>
      </w:r>
    </w:p>
    <w:p w14:paraId="05E1599F" w14:textId="0B7E08C4" w:rsidR="00F547CA" w:rsidRDefault="006E18EF" w:rsidP="00C961B8">
      <w:pPr>
        <w:tabs>
          <w:tab w:val="left" w:pos="2430"/>
        </w:tabs>
      </w:pPr>
      <w:r w:rsidRPr="00D2683D">
        <w:tab/>
      </w:r>
    </w:p>
    <w:p w14:paraId="1CFA0C47" w14:textId="77777777" w:rsidR="00C961B8" w:rsidRDefault="00C961B8" w:rsidP="00436E01"/>
    <w:p w14:paraId="3FEDE986" w14:textId="77777777" w:rsidR="00FB6782" w:rsidRDefault="00FB6782" w:rsidP="00F455F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27487A6B" w14:textId="77777777" w:rsidR="001C51D8" w:rsidRDefault="001C51D8" w:rsidP="00F455F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8B9DA84" w14:textId="77777777" w:rsidR="001C51D8" w:rsidRDefault="001C51D8" w:rsidP="00F455F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Style w:val="Tabellenraster"/>
        <w:tblW w:w="9464" w:type="dxa"/>
        <w:jc w:val="center"/>
        <w:tblLook w:val="04A0" w:firstRow="1" w:lastRow="0" w:firstColumn="1" w:lastColumn="0" w:noHBand="0" w:noVBand="1"/>
      </w:tblPr>
      <w:tblGrid>
        <w:gridCol w:w="8755"/>
        <w:gridCol w:w="709"/>
      </w:tblGrid>
      <w:tr w:rsidR="001C51D8" w:rsidRPr="001C51D8" w14:paraId="6CC2A7DF" w14:textId="77777777" w:rsidTr="001C51D8">
        <w:trPr>
          <w:jc w:val="center"/>
        </w:trPr>
        <w:tc>
          <w:tcPr>
            <w:tcW w:w="9464" w:type="dxa"/>
            <w:gridSpan w:val="2"/>
            <w:shd w:val="clear" w:color="auto" w:fill="48AC98"/>
          </w:tcPr>
          <w:p w14:paraId="18D98B53" w14:textId="4A3FE944" w:rsidR="001C51D8" w:rsidRPr="001C51D8" w:rsidRDefault="001C51D8" w:rsidP="001C51D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Checkliste: allergiesensible Pflege  </w:t>
            </w:r>
          </w:p>
        </w:tc>
      </w:tr>
      <w:tr w:rsidR="001C51D8" w:rsidRPr="001C51D8" w14:paraId="758A2093" w14:textId="77777777" w:rsidTr="001C51D8">
        <w:trPr>
          <w:jc w:val="center"/>
        </w:trPr>
        <w:tc>
          <w:tcPr>
            <w:tcW w:w="8755" w:type="dxa"/>
            <w:shd w:val="clear" w:color="auto" w:fill="CDC9DD"/>
          </w:tcPr>
          <w:p w14:paraId="14C55D7A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</w:p>
        </w:tc>
        <w:tc>
          <w:tcPr>
            <w:tcW w:w="709" w:type="dxa"/>
            <w:shd w:val="clear" w:color="auto" w:fill="CDC9DD"/>
          </w:tcPr>
          <w:p w14:paraId="729FBFB3" w14:textId="6D6AB619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bCs w:val="0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b/>
                <w:bCs w:val="0"/>
                <w:sz w:val="28"/>
                <w:szCs w:val="28"/>
                <w:lang w:val="de-DE"/>
              </w:rPr>
              <w:sym w:font="Wingdings" w:char="F0FE"/>
            </w:r>
          </w:p>
        </w:tc>
      </w:tr>
      <w:tr w:rsidR="001C51D8" w:rsidRPr="001C51D8" w14:paraId="02991EF2" w14:textId="77777777" w:rsidTr="001C51D8">
        <w:trPr>
          <w:jc w:val="center"/>
        </w:trPr>
        <w:tc>
          <w:tcPr>
            <w:tcW w:w="8755" w:type="dxa"/>
          </w:tcPr>
          <w:p w14:paraId="02AF031D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>Erst-/Aufnahmegespräch mit gezielten Fragen zu Allergien (auch früheren Reaktionen) findet statt.</w:t>
            </w:r>
          </w:p>
        </w:tc>
        <w:tc>
          <w:tcPr>
            <w:tcW w:w="709" w:type="dxa"/>
          </w:tcPr>
          <w:p w14:paraId="0F170EA2" w14:textId="31D8D438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1C51D8" w:rsidRPr="001C51D8" w14:paraId="1EBA5838" w14:textId="77777777" w:rsidTr="001C51D8">
        <w:trPr>
          <w:jc w:val="center"/>
        </w:trPr>
        <w:tc>
          <w:tcPr>
            <w:tcW w:w="8755" w:type="dxa"/>
          </w:tcPr>
          <w:p w14:paraId="4744D5F9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>Eintrag in der strukturierten Pflegedokumentation ist obligatorisch.</w:t>
            </w:r>
          </w:p>
        </w:tc>
        <w:tc>
          <w:tcPr>
            <w:tcW w:w="709" w:type="dxa"/>
          </w:tcPr>
          <w:p w14:paraId="36D183CE" w14:textId="0885224D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1C51D8" w:rsidRPr="001C51D8" w14:paraId="3DA2A92B" w14:textId="77777777" w:rsidTr="001C51D8">
        <w:trPr>
          <w:jc w:val="center"/>
        </w:trPr>
        <w:tc>
          <w:tcPr>
            <w:tcW w:w="8755" w:type="dxa"/>
          </w:tcPr>
          <w:p w14:paraId="6DD722C6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 xml:space="preserve">Sichtbarer Hinweis in der Kurve und am Bett (nach Absprache) als Signal; Datenschutz wird beachtet. </w:t>
            </w:r>
          </w:p>
        </w:tc>
        <w:tc>
          <w:tcPr>
            <w:tcW w:w="709" w:type="dxa"/>
          </w:tcPr>
          <w:p w14:paraId="715DFC3D" w14:textId="7681A023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1C51D8" w:rsidRPr="001C51D8" w14:paraId="0E72ABD8" w14:textId="77777777" w:rsidTr="001C51D8">
        <w:trPr>
          <w:jc w:val="center"/>
        </w:trPr>
        <w:tc>
          <w:tcPr>
            <w:tcW w:w="8755" w:type="dxa"/>
          </w:tcPr>
          <w:p w14:paraId="2440BDF3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>Es findet ein Abgleich bei Medikamentengabe – auch bei Bedarfsmedikation – und bei Neuverordnungen statt.</w:t>
            </w:r>
          </w:p>
        </w:tc>
        <w:tc>
          <w:tcPr>
            <w:tcW w:w="709" w:type="dxa"/>
          </w:tcPr>
          <w:p w14:paraId="62C3D942" w14:textId="65E95972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1C51D8" w:rsidRPr="001C51D8" w14:paraId="3CF10568" w14:textId="77777777" w:rsidTr="001C51D8">
        <w:trPr>
          <w:jc w:val="center"/>
        </w:trPr>
        <w:tc>
          <w:tcPr>
            <w:tcW w:w="8755" w:type="dxa"/>
          </w:tcPr>
          <w:p w14:paraId="60374267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>In Übergaben werden insbesondere neue Erkenntnisse zu Allergien deutlich kommuniziert.</w:t>
            </w:r>
          </w:p>
        </w:tc>
        <w:tc>
          <w:tcPr>
            <w:tcW w:w="709" w:type="dxa"/>
          </w:tcPr>
          <w:p w14:paraId="42FB4774" w14:textId="441958A2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1C51D8" w:rsidRPr="001C51D8" w14:paraId="13F4E23F" w14:textId="77777777" w:rsidTr="001C51D8">
        <w:trPr>
          <w:jc w:val="center"/>
        </w:trPr>
        <w:tc>
          <w:tcPr>
            <w:tcW w:w="8755" w:type="dxa"/>
          </w:tcPr>
          <w:p w14:paraId="05693F93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 xml:space="preserve">Beobachtung typischer und atypischer Symptome als potenzielle Reaktion in Folge einer Allergie werden weitergegeben, dokumentiert und entsprechende Maßnahmen eingeleitet. </w:t>
            </w:r>
          </w:p>
        </w:tc>
        <w:tc>
          <w:tcPr>
            <w:tcW w:w="709" w:type="dxa"/>
          </w:tcPr>
          <w:p w14:paraId="31B8A73F" w14:textId="1B6A201C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1C51D8" w:rsidRPr="001C51D8" w14:paraId="00BBE385" w14:textId="77777777" w:rsidTr="001C51D8">
        <w:trPr>
          <w:jc w:val="center"/>
        </w:trPr>
        <w:tc>
          <w:tcPr>
            <w:tcW w:w="8755" w:type="dxa"/>
          </w:tcPr>
          <w:p w14:paraId="349853DE" w14:textId="77777777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51D8">
              <w:rPr>
                <w:rFonts w:ascii="Arial" w:hAnsi="Arial" w:cs="Arial"/>
                <w:sz w:val="24"/>
                <w:lang w:val="de-DE"/>
              </w:rPr>
              <w:t>Es gibt ein allgemein bekanntes Notfallmanagement („Erste Hilfe“) bei allergischen Reaktionen.</w:t>
            </w:r>
          </w:p>
        </w:tc>
        <w:tc>
          <w:tcPr>
            <w:tcW w:w="709" w:type="dxa"/>
          </w:tcPr>
          <w:p w14:paraId="52D64257" w14:textId="515EA32B" w:rsidR="001C51D8" w:rsidRPr="001C51D8" w:rsidRDefault="001C51D8" w:rsidP="001C51D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C51D8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</w:tbl>
    <w:p w14:paraId="0E8B80D1" w14:textId="77777777" w:rsidR="001C51D8" w:rsidRPr="00F455FF" w:rsidRDefault="001C51D8" w:rsidP="00F455FF">
      <w:pPr>
        <w:pStyle w:val="Listenabsatz"/>
        <w:widowControl w:val="0"/>
        <w:autoSpaceDE w:val="0"/>
        <w:autoSpaceDN w:val="0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1C51D8" w:rsidRPr="00F455FF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Pr="00D2683D" w:rsidRDefault="00A8481A" w:rsidP="002A5D13">
      <w:pPr>
        <w:spacing w:after="0" w:line="240" w:lineRule="auto"/>
      </w:pPr>
      <w:r w:rsidRPr="00D2683D">
        <w:separator/>
      </w:r>
    </w:p>
  </w:endnote>
  <w:endnote w:type="continuationSeparator" w:id="0">
    <w:p w14:paraId="0D4F06D0" w14:textId="77777777" w:rsidR="00A8481A" w:rsidRPr="00D2683D" w:rsidRDefault="00A8481A" w:rsidP="002A5D13">
      <w:pPr>
        <w:spacing w:after="0" w:line="240" w:lineRule="auto"/>
      </w:pPr>
      <w:r w:rsidRPr="00D26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Pr="00D2683D" w:rsidRDefault="00A8481A" w:rsidP="002A5D13">
      <w:pPr>
        <w:spacing w:after="0" w:line="240" w:lineRule="auto"/>
      </w:pPr>
      <w:r w:rsidRPr="00D2683D">
        <w:separator/>
      </w:r>
    </w:p>
  </w:footnote>
  <w:footnote w:type="continuationSeparator" w:id="0">
    <w:p w14:paraId="5F8F56A5" w14:textId="77777777" w:rsidR="00A8481A" w:rsidRPr="00D2683D" w:rsidRDefault="00A8481A" w:rsidP="002A5D13">
      <w:pPr>
        <w:spacing w:after="0" w:line="240" w:lineRule="auto"/>
      </w:pPr>
      <w:r w:rsidRPr="00D26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:rsidRPr="00D2683D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5A1F7CAA" w:rsidR="00067069" w:rsidRPr="00D2683D" w:rsidRDefault="00067069" w:rsidP="005E1850">
          <w:pPr>
            <w:pStyle w:val="Kopfzeile"/>
            <w:jc w:val="center"/>
            <w:rPr>
              <w:b/>
              <w:color w:val="FFFFFF"/>
            </w:rPr>
          </w:pPr>
          <w:r w:rsidRPr="00D2683D">
            <w:rPr>
              <w:b/>
              <w:color w:val="FFFFFF"/>
              <w:sz w:val="24"/>
            </w:rPr>
            <w:t xml:space="preserve">Ausgabe </w:t>
          </w:r>
          <w:r w:rsidR="00CE4AD2" w:rsidRPr="00D2683D">
            <w:rPr>
              <w:b/>
              <w:color w:val="FFFFFF"/>
              <w:sz w:val="24"/>
            </w:rPr>
            <w:t>0</w:t>
          </w:r>
          <w:r w:rsidR="00D2683D" w:rsidRPr="00D2683D">
            <w:rPr>
              <w:b/>
              <w:color w:val="FFFFFF"/>
              <w:sz w:val="24"/>
            </w:rPr>
            <w:t>7</w:t>
          </w:r>
          <w:r w:rsidRPr="00D2683D">
            <w:rPr>
              <w:b/>
              <w:color w:val="FFFFFF"/>
              <w:sz w:val="24"/>
            </w:rPr>
            <w:t xml:space="preserve"> </w:t>
          </w:r>
          <w:r w:rsidR="00AD343D" w:rsidRPr="00D2683D">
            <w:rPr>
              <w:b/>
              <w:color w:val="FFFFFF"/>
              <w:sz w:val="24"/>
            </w:rPr>
            <w:t>–</w:t>
          </w:r>
          <w:r w:rsidRPr="00D2683D">
            <w:rPr>
              <w:b/>
              <w:color w:val="FFFFFF"/>
              <w:sz w:val="24"/>
            </w:rPr>
            <w:t xml:space="preserve"> 202</w:t>
          </w:r>
          <w:r w:rsidR="00CE4AD2" w:rsidRPr="00D2683D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D2683D" w:rsidRDefault="001C51D8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D2683D">
            <w:rPr>
              <w:rFonts w:ascii="Myriad Pro" w:hAnsi="Myriad Pro"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 w:rsidRPr="00D2683D">
            <w:t xml:space="preserve"> </w:t>
          </w:r>
          <w:r w:rsidRPr="00D2683D">
            <w:rPr>
              <w:rFonts w:ascii="Myriad Pro" w:hAnsi="Myriad Pro"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Pr="00D2683D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E58"/>
    <w:multiLevelType w:val="hybridMultilevel"/>
    <w:tmpl w:val="9BE2AE70"/>
    <w:lvl w:ilvl="0" w:tplc="67A47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1F80"/>
    <w:multiLevelType w:val="hybridMultilevel"/>
    <w:tmpl w:val="512C5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595"/>
    <w:multiLevelType w:val="hybridMultilevel"/>
    <w:tmpl w:val="11D68C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A13D8"/>
    <w:multiLevelType w:val="hybridMultilevel"/>
    <w:tmpl w:val="1F8E0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55B32"/>
    <w:multiLevelType w:val="hybridMultilevel"/>
    <w:tmpl w:val="C7B64D9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F4110"/>
    <w:multiLevelType w:val="hybridMultilevel"/>
    <w:tmpl w:val="76AE971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A0851"/>
    <w:multiLevelType w:val="hybridMultilevel"/>
    <w:tmpl w:val="83942D4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1"/>
  </w:num>
  <w:num w:numId="2" w16cid:durableId="1768882820">
    <w:abstractNumId w:val="23"/>
  </w:num>
  <w:num w:numId="3" w16cid:durableId="35158390">
    <w:abstractNumId w:val="26"/>
  </w:num>
  <w:num w:numId="4" w16cid:durableId="1582063786">
    <w:abstractNumId w:val="13"/>
  </w:num>
  <w:num w:numId="5" w16cid:durableId="460341628">
    <w:abstractNumId w:val="6"/>
  </w:num>
  <w:num w:numId="6" w16cid:durableId="1363944139">
    <w:abstractNumId w:val="8"/>
  </w:num>
  <w:num w:numId="7" w16cid:durableId="518814105">
    <w:abstractNumId w:val="16"/>
  </w:num>
  <w:num w:numId="8" w16cid:durableId="484511790">
    <w:abstractNumId w:val="14"/>
  </w:num>
  <w:num w:numId="9" w16cid:durableId="1082413873">
    <w:abstractNumId w:val="10"/>
  </w:num>
  <w:num w:numId="10" w16cid:durableId="1074082828">
    <w:abstractNumId w:val="5"/>
  </w:num>
  <w:num w:numId="11" w16cid:durableId="1311444557">
    <w:abstractNumId w:val="24"/>
  </w:num>
  <w:num w:numId="12" w16cid:durableId="1903829581">
    <w:abstractNumId w:val="18"/>
  </w:num>
  <w:num w:numId="13" w16cid:durableId="405805395">
    <w:abstractNumId w:val="19"/>
  </w:num>
  <w:num w:numId="14" w16cid:durableId="1365642997">
    <w:abstractNumId w:val="17"/>
  </w:num>
  <w:num w:numId="15" w16cid:durableId="135924038">
    <w:abstractNumId w:val="20"/>
  </w:num>
  <w:num w:numId="16" w16cid:durableId="1397776156">
    <w:abstractNumId w:val="21"/>
  </w:num>
  <w:num w:numId="17" w16cid:durableId="1943148140">
    <w:abstractNumId w:val="22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309943894">
    <w:abstractNumId w:val="7"/>
  </w:num>
  <w:num w:numId="24" w16cid:durableId="1893424341">
    <w:abstractNumId w:val="9"/>
  </w:num>
  <w:num w:numId="25" w16cid:durableId="1854222568">
    <w:abstractNumId w:val="27"/>
  </w:num>
  <w:num w:numId="26" w16cid:durableId="1955936975">
    <w:abstractNumId w:val="12"/>
  </w:num>
  <w:num w:numId="27" w16cid:durableId="1999262541">
    <w:abstractNumId w:val="25"/>
  </w:num>
  <w:num w:numId="28" w16cid:durableId="1467968428">
    <w:abstractNumId w:val="28"/>
  </w:num>
  <w:num w:numId="29" w16cid:durableId="139344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1C51D8"/>
    <w:rsid w:val="001C6B76"/>
    <w:rsid w:val="00205D0C"/>
    <w:rsid w:val="0027096C"/>
    <w:rsid w:val="002766CF"/>
    <w:rsid w:val="0028515F"/>
    <w:rsid w:val="002914CF"/>
    <w:rsid w:val="002A5853"/>
    <w:rsid w:val="002A5D13"/>
    <w:rsid w:val="002B029B"/>
    <w:rsid w:val="002B328E"/>
    <w:rsid w:val="002B4419"/>
    <w:rsid w:val="002D45E4"/>
    <w:rsid w:val="002D57F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961B8"/>
    <w:rsid w:val="00CC38C8"/>
    <w:rsid w:val="00CD04DD"/>
    <w:rsid w:val="00CE4AD2"/>
    <w:rsid w:val="00D2683D"/>
    <w:rsid w:val="00D86187"/>
    <w:rsid w:val="00DA33C8"/>
    <w:rsid w:val="00DB32C7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455FF"/>
    <w:rsid w:val="00F547CA"/>
    <w:rsid w:val="00FA19D7"/>
    <w:rsid w:val="00FB3A5A"/>
    <w:rsid w:val="00FB6782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D268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D2683D"/>
    <w:pPr>
      <w:spacing w:after="0" w:line="240" w:lineRule="auto"/>
    </w:pPr>
    <w:rPr>
      <w:rFonts w:cs="Calibri"/>
      <w:sz w:val="20"/>
      <w:szCs w:val="20"/>
    </w:rPr>
  </w:style>
  <w:style w:type="paragraph" w:customStyle="1" w:styleId="Subhead2">
    <w:name w:val="Subhead 2"/>
    <w:basedOn w:val="Flietext"/>
    <w:qFormat/>
    <w:rsid w:val="00C961B8"/>
    <w:pPr>
      <w:spacing w:after="100"/>
    </w:pPr>
    <w:rPr>
      <w:b/>
      <w:bCs/>
      <w:color w:val="302750"/>
      <w:sz w:val="22"/>
      <w:szCs w:val="22"/>
    </w:rPr>
  </w:style>
  <w:style w:type="character" w:styleId="Kommentarzeichen">
    <w:name w:val="annotation reference"/>
    <w:uiPriority w:val="99"/>
    <w:semiHidden/>
    <w:unhideWhenUsed/>
    <w:rsid w:val="00F455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55FF"/>
    <w:pPr>
      <w:spacing w:after="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5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2025-06-25T12:33:00Z</dcterms:created>
  <dcterms:modified xsi:type="dcterms:W3CDTF">2025-06-25T12:33:00Z</dcterms:modified>
</cp:coreProperties>
</file>