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6595" w14:textId="77777777" w:rsidR="002A5D13" w:rsidRDefault="007A7CA7" w:rsidP="0094172F">
      <w:pPr>
        <w:tabs>
          <w:tab w:val="left" w:pos="5280"/>
          <w:tab w:val="right" w:pos="9070"/>
        </w:tabs>
        <w:rPr>
          <w:b/>
          <w:noProof/>
          <w:lang w:eastAsia="de-DE"/>
        </w:rPr>
      </w:pPr>
      <w:r>
        <w:rPr>
          <w:b/>
          <w:noProof/>
          <w:lang w:eastAsia="de-DE"/>
        </w:rPr>
        <w:tab/>
      </w:r>
      <w:r w:rsidR="0094172F">
        <w:rPr>
          <w:b/>
          <w:noProof/>
          <w:lang w:eastAsia="de-DE"/>
        </w:rPr>
        <w:tab/>
      </w:r>
    </w:p>
    <w:p w14:paraId="61F0E915" w14:textId="77777777" w:rsidR="00C73E1A" w:rsidRDefault="007A7CA7" w:rsidP="00E353A3">
      <w:pPr>
        <w:tabs>
          <w:tab w:val="left" w:pos="1665"/>
          <w:tab w:val="left" w:pos="2430"/>
          <w:tab w:val="left" w:pos="4185"/>
          <w:tab w:val="left" w:pos="6900"/>
        </w:tabs>
      </w:pPr>
      <w:r>
        <w:tab/>
      </w:r>
      <w:r w:rsidR="00E353A3">
        <w:tab/>
      </w:r>
      <w:r>
        <w:tab/>
      </w:r>
      <w:r w:rsidR="00B707AF">
        <w:tab/>
      </w:r>
    </w:p>
    <w:p w14:paraId="42DF19AD" w14:textId="77777777" w:rsidR="0018100A" w:rsidRDefault="0018100A" w:rsidP="00C73E1A"/>
    <w:p w14:paraId="6CB80741" w14:textId="77777777" w:rsidR="00BF3A2E" w:rsidRDefault="00BF3A2E" w:rsidP="00C73E1A"/>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7433"/>
      </w:tblGrid>
      <w:tr w:rsidR="00BF3A2E" w:rsidRPr="00BF3A2E" w14:paraId="68096F30" w14:textId="77777777" w:rsidTr="00BF3A2E">
        <w:tblPrEx>
          <w:tblCellMar>
            <w:top w:w="0" w:type="dxa"/>
            <w:bottom w:w="0" w:type="dxa"/>
          </w:tblCellMar>
        </w:tblPrEx>
        <w:trPr>
          <w:trHeight w:val="136"/>
          <w:jc w:val="center"/>
        </w:trPr>
        <w:tc>
          <w:tcPr>
            <w:tcW w:w="10148" w:type="dxa"/>
            <w:gridSpan w:val="2"/>
            <w:shd w:val="clear" w:color="auto" w:fill="006793"/>
          </w:tcPr>
          <w:p w14:paraId="731782FF" w14:textId="77777777" w:rsidR="00BF3A2E" w:rsidRPr="00BF3A2E" w:rsidRDefault="00BF3A2E" w:rsidP="00BF3A2E">
            <w:pPr>
              <w:spacing w:before="120" w:after="120"/>
              <w:rPr>
                <w:rFonts w:ascii="Arial" w:hAnsi="Arial" w:cs="Arial"/>
                <w:b/>
                <w:color w:val="FFFFFF" w:themeColor="background1"/>
                <w:sz w:val="28"/>
                <w:szCs w:val="28"/>
              </w:rPr>
            </w:pPr>
            <w:r w:rsidRPr="00BF3A2E">
              <w:rPr>
                <w:rFonts w:ascii="Arial" w:hAnsi="Arial" w:cs="Arial"/>
                <w:b/>
                <w:color w:val="FFFFFF" w:themeColor="background1"/>
                <w:sz w:val="28"/>
                <w:szCs w:val="28"/>
              </w:rPr>
              <w:t xml:space="preserve">Übersicht: Vollmachten und ihre Bedeutung in der Pflege </w:t>
            </w:r>
          </w:p>
        </w:tc>
      </w:tr>
      <w:tr w:rsidR="00BF3A2E" w:rsidRPr="00BF3A2E" w14:paraId="33F067A0" w14:textId="77777777" w:rsidTr="00BF3A2E">
        <w:tblPrEx>
          <w:tblCellMar>
            <w:top w:w="0" w:type="dxa"/>
            <w:bottom w:w="0" w:type="dxa"/>
          </w:tblCellMar>
        </w:tblPrEx>
        <w:trPr>
          <w:trHeight w:val="1037"/>
          <w:jc w:val="center"/>
        </w:trPr>
        <w:tc>
          <w:tcPr>
            <w:tcW w:w="2715" w:type="dxa"/>
            <w:shd w:val="clear" w:color="auto" w:fill="FCCBA2"/>
          </w:tcPr>
          <w:p w14:paraId="4CFB7CB2" w14:textId="77777777" w:rsidR="00BF3A2E" w:rsidRPr="00BF3A2E" w:rsidRDefault="00BF3A2E" w:rsidP="00BF3A2E">
            <w:pPr>
              <w:spacing w:before="120" w:after="120"/>
              <w:rPr>
                <w:rFonts w:ascii="Arial" w:hAnsi="Arial" w:cs="Arial"/>
                <w:b/>
                <w:color w:val="000000"/>
                <w:sz w:val="24"/>
                <w:szCs w:val="24"/>
              </w:rPr>
            </w:pPr>
            <w:r w:rsidRPr="00BF3A2E">
              <w:rPr>
                <w:rFonts w:ascii="Arial" w:hAnsi="Arial" w:cs="Arial"/>
                <w:b/>
                <w:color w:val="000000"/>
                <w:sz w:val="24"/>
                <w:szCs w:val="24"/>
              </w:rPr>
              <w:t>Vorsor</w:t>
            </w:r>
            <w:r w:rsidRPr="00BF3A2E">
              <w:rPr>
                <w:rFonts w:ascii="Arial" w:hAnsi="Arial" w:cs="Arial"/>
                <w:b/>
                <w:color w:val="000000"/>
                <w:sz w:val="24"/>
                <w:szCs w:val="24"/>
              </w:rPr>
              <w:softHyphen/>
              <w:t>gevoll</w:t>
            </w:r>
            <w:r w:rsidRPr="00BF3A2E">
              <w:rPr>
                <w:rFonts w:ascii="Arial" w:hAnsi="Arial" w:cs="Arial"/>
                <w:b/>
                <w:color w:val="000000"/>
                <w:sz w:val="24"/>
                <w:szCs w:val="24"/>
              </w:rPr>
              <w:softHyphen/>
              <w:t xml:space="preserve">macht </w:t>
            </w:r>
          </w:p>
        </w:tc>
        <w:tc>
          <w:tcPr>
            <w:tcW w:w="7433" w:type="dxa"/>
          </w:tcPr>
          <w:p w14:paraId="66EBA6F5" w14:textId="77777777" w:rsidR="00BF3A2E" w:rsidRPr="00BF3A2E" w:rsidRDefault="00BF3A2E" w:rsidP="00BF3A2E">
            <w:pPr>
              <w:spacing w:before="120" w:after="120"/>
              <w:rPr>
                <w:rFonts w:ascii="Arial" w:hAnsi="Arial" w:cs="Arial"/>
                <w:bCs/>
                <w:color w:val="000000"/>
                <w:sz w:val="24"/>
                <w:szCs w:val="24"/>
              </w:rPr>
            </w:pPr>
            <w:r w:rsidRPr="00BF3A2E">
              <w:rPr>
                <w:rFonts w:ascii="Arial" w:hAnsi="Arial" w:cs="Arial"/>
                <w:bCs/>
                <w:color w:val="000000"/>
                <w:sz w:val="24"/>
                <w:szCs w:val="24"/>
              </w:rPr>
              <w:t xml:space="preserve">Die Vorsorgevollmacht soll die Anordnung einer Betreuung vermeiden. </w:t>
            </w:r>
          </w:p>
          <w:p w14:paraId="7970ED3A" w14:textId="77777777" w:rsidR="00BF3A2E" w:rsidRPr="00BF3A2E" w:rsidRDefault="00BF3A2E" w:rsidP="00BF3A2E">
            <w:pPr>
              <w:spacing w:before="120" w:after="120"/>
              <w:rPr>
                <w:rFonts w:ascii="Arial" w:hAnsi="Arial" w:cs="Arial"/>
                <w:bCs/>
                <w:color w:val="000000"/>
                <w:sz w:val="24"/>
                <w:szCs w:val="24"/>
              </w:rPr>
            </w:pPr>
            <w:r w:rsidRPr="00BF3A2E">
              <w:rPr>
                <w:rFonts w:ascii="Arial" w:hAnsi="Arial" w:cs="Arial"/>
                <w:bCs/>
                <w:color w:val="000000"/>
                <w:sz w:val="24"/>
                <w:szCs w:val="24"/>
              </w:rPr>
              <w:t>Sie ermächtigt den Empfänger, im Namen und mit Wirkung für den Vollmachtgeber Erklärungen abzugeben, zu denen der Vollmachtgeber selbst infolge des Verlusts der Geschäftsfähigkeit nicht mehr in der Lage ist. Als Gegenstand einer Vorsorgevollmacht kommen grundsätzlich alle Rechts</w:t>
            </w:r>
            <w:r w:rsidRPr="00BF3A2E">
              <w:rPr>
                <w:rFonts w:ascii="Arial" w:hAnsi="Arial" w:cs="Arial"/>
                <w:bCs/>
                <w:color w:val="000000"/>
                <w:sz w:val="24"/>
                <w:szCs w:val="24"/>
              </w:rPr>
              <w:softHyphen/>
              <w:t>geschäfte und Erklärungen in Betracht. Einzelne, z. B. das Recht zur Einwilligung in freiheitsentzie</w:t>
            </w:r>
            <w:r w:rsidRPr="00BF3A2E">
              <w:rPr>
                <w:rFonts w:ascii="Arial" w:hAnsi="Arial" w:cs="Arial"/>
                <w:bCs/>
                <w:color w:val="000000"/>
                <w:sz w:val="24"/>
                <w:szCs w:val="24"/>
              </w:rPr>
              <w:softHyphen/>
              <w:t xml:space="preserve">hende Maßnahmen durch den Angehörigen, können jedoch ausgeschlossen werden. </w:t>
            </w:r>
          </w:p>
          <w:p w14:paraId="7C49BD4F" w14:textId="77777777" w:rsidR="00BF3A2E" w:rsidRPr="00BF3A2E" w:rsidRDefault="00BF3A2E" w:rsidP="00BF3A2E">
            <w:pPr>
              <w:spacing w:before="120" w:after="120"/>
              <w:rPr>
                <w:rFonts w:ascii="Arial" w:hAnsi="Arial" w:cs="Arial"/>
                <w:bCs/>
                <w:color w:val="000000"/>
                <w:sz w:val="24"/>
                <w:szCs w:val="24"/>
              </w:rPr>
            </w:pPr>
            <w:r w:rsidRPr="00BF3A2E">
              <w:rPr>
                <w:rFonts w:ascii="Arial" w:hAnsi="Arial" w:cs="Arial"/>
                <w:bCs/>
                <w:color w:val="000000"/>
                <w:sz w:val="24"/>
                <w:szCs w:val="24"/>
              </w:rPr>
              <w:t>Zum Zeitpunkt der Erteilung einer Vorsorgevollmacht muss die Geschäftsfähigkeit des Vollmacht</w:t>
            </w:r>
            <w:r w:rsidRPr="00BF3A2E">
              <w:rPr>
                <w:rFonts w:ascii="Arial" w:hAnsi="Arial" w:cs="Arial"/>
                <w:bCs/>
                <w:color w:val="000000"/>
                <w:sz w:val="24"/>
                <w:szCs w:val="24"/>
              </w:rPr>
              <w:softHyphen/>
              <w:t xml:space="preserve">gebers vorliegen. </w:t>
            </w:r>
          </w:p>
        </w:tc>
      </w:tr>
      <w:tr w:rsidR="00BF3A2E" w:rsidRPr="00BF3A2E" w14:paraId="033E67F1" w14:textId="77777777" w:rsidTr="00BF3A2E">
        <w:tblPrEx>
          <w:tblCellMar>
            <w:top w:w="0" w:type="dxa"/>
            <w:bottom w:w="0" w:type="dxa"/>
          </w:tblCellMar>
        </w:tblPrEx>
        <w:trPr>
          <w:trHeight w:val="647"/>
          <w:jc w:val="center"/>
        </w:trPr>
        <w:tc>
          <w:tcPr>
            <w:tcW w:w="2715" w:type="dxa"/>
            <w:shd w:val="clear" w:color="auto" w:fill="FCCBA2"/>
          </w:tcPr>
          <w:p w14:paraId="28C43C91" w14:textId="77777777" w:rsidR="00BF3A2E" w:rsidRPr="00BF3A2E" w:rsidRDefault="00BF3A2E" w:rsidP="00BF3A2E">
            <w:pPr>
              <w:spacing w:before="120" w:after="120"/>
              <w:rPr>
                <w:rFonts w:ascii="Arial" w:hAnsi="Arial" w:cs="Arial"/>
                <w:b/>
                <w:color w:val="000000"/>
                <w:sz w:val="24"/>
                <w:szCs w:val="24"/>
              </w:rPr>
            </w:pPr>
            <w:r w:rsidRPr="00BF3A2E">
              <w:rPr>
                <w:rFonts w:ascii="Arial" w:hAnsi="Arial" w:cs="Arial"/>
                <w:b/>
                <w:color w:val="000000"/>
                <w:sz w:val="24"/>
                <w:szCs w:val="24"/>
              </w:rPr>
              <w:t>Gene</w:t>
            </w:r>
            <w:r w:rsidRPr="00BF3A2E">
              <w:rPr>
                <w:rFonts w:ascii="Arial" w:hAnsi="Arial" w:cs="Arial"/>
                <w:b/>
                <w:color w:val="000000"/>
                <w:sz w:val="24"/>
                <w:szCs w:val="24"/>
              </w:rPr>
              <w:softHyphen/>
              <w:t>ralvoll</w:t>
            </w:r>
            <w:r w:rsidRPr="00BF3A2E">
              <w:rPr>
                <w:rFonts w:ascii="Arial" w:hAnsi="Arial" w:cs="Arial"/>
                <w:b/>
                <w:color w:val="000000"/>
                <w:sz w:val="24"/>
                <w:szCs w:val="24"/>
              </w:rPr>
              <w:softHyphen/>
              <w:t xml:space="preserve">macht </w:t>
            </w:r>
          </w:p>
        </w:tc>
        <w:tc>
          <w:tcPr>
            <w:tcW w:w="7433" w:type="dxa"/>
          </w:tcPr>
          <w:p w14:paraId="0B545F8B" w14:textId="77777777" w:rsidR="00BF3A2E" w:rsidRPr="00BF3A2E" w:rsidRDefault="00BF3A2E" w:rsidP="00BF3A2E">
            <w:pPr>
              <w:spacing w:before="120" w:after="120"/>
              <w:rPr>
                <w:rFonts w:ascii="Arial" w:hAnsi="Arial" w:cs="Arial"/>
                <w:bCs/>
                <w:color w:val="000000"/>
                <w:sz w:val="24"/>
                <w:szCs w:val="24"/>
              </w:rPr>
            </w:pPr>
            <w:r w:rsidRPr="00BF3A2E">
              <w:rPr>
                <w:rFonts w:ascii="Arial" w:hAnsi="Arial" w:cs="Arial"/>
                <w:bCs/>
                <w:color w:val="000000"/>
                <w:sz w:val="24"/>
                <w:szCs w:val="24"/>
              </w:rPr>
              <w:t>Eine Generalvollmacht ermächtigt eine oder mehrere Personen zur Ausführung sehr weitreichen</w:t>
            </w:r>
            <w:r w:rsidRPr="00BF3A2E">
              <w:rPr>
                <w:rFonts w:ascii="Arial" w:hAnsi="Arial" w:cs="Arial"/>
                <w:bCs/>
                <w:color w:val="000000"/>
                <w:sz w:val="24"/>
                <w:szCs w:val="24"/>
              </w:rPr>
              <w:softHyphen/>
              <w:t xml:space="preserve">der Erklärungen oder Rechtsgeschäfte, soweit eine Vertretung zulässig ist. Zum Zeitpunkt der Bevollmächtigung muss der Vollmachtgeber volljährig und geschäftsfähig sein. Ihre Nutzung setzt jedoch nicht voraus, dass der Vollmachtgeber geschäftsunfähig geworden ist. </w:t>
            </w:r>
          </w:p>
          <w:p w14:paraId="3EE21B4E" w14:textId="77777777" w:rsidR="00BF3A2E" w:rsidRPr="00BF3A2E" w:rsidRDefault="00BF3A2E" w:rsidP="00BF3A2E">
            <w:pPr>
              <w:spacing w:before="120" w:after="120"/>
              <w:rPr>
                <w:rFonts w:ascii="Arial" w:hAnsi="Arial" w:cs="Arial"/>
                <w:bCs/>
                <w:color w:val="000000"/>
                <w:sz w:val="24"/>
                <w:szCs w:val="24"/>
              </w:rPr>
            </w:pPr>
            <w:r w:rsidRPr="00BF3A2E">
              <w:rPr>
                <w:rFonts w:ascii="Arial" w:hAnsi="Arial" w:cs="Arial"/>
                <w:bCs/>
                <w:color w:val="000000"/>
                <w:sz w:val="24"/>
                <w:szCs w:val="24"/>
              </w:rPr>
              <w:t xml:space="preserve">Die Generalvollmacht kann, muss aber nicht notariell beglaubigt sein. </w:t>
            </w:r>
          </w:p>
        </w:tc>
      </w:tr>
      <w:tr w:rsidR="00BF3A2E" w:rsidRPr="00BF3A2E" w14:paraId="41E0F06B" w14:textId="77777777" w:rsidTr="00BF3A2E">
        <w:tblPrEx>
          <w:tblCellMar>
            <w:top w:w="0" w:type="dxa"/>
            <w:bottom w:w="0" w:type="dxa"/>
          </w:tblCellMar>
        </w:tblPrEx>
        <w:trPr>
          <w:trHeight w:val="389"/>
          <w:jc w:val="center"/>
        </w:trPr>
        <w:tc>
          <w:tcPr>
            <w:tcW w:w="2715" w:type="dxa"/>
            <w:shd w:val="clear" w:color="auto" w:fill="FCCBA2"/>
          </w:tcPr>
          <w:p w14:paraId="0C262B8C" w14:textId="1AC8A3B9" w:rsidR="00BF3A2E" w:rsidRPr="00BF3A2E" w:rsidRDefault="00BF3A2E" w:rsidP="00BF3A2E">
            <w:pPr>
              <w:spacing w:before="120" w:after="120"/>
              <w:rPr>
                <w:rFonts w:ascii="Arial" w:hAnsi="Arial" w:cs="Arial"/>
                <w:b/>
                <w:color w:val="000000"/>
                <w:sz w:val="24"/>
                <w:szCs w:val="24"/>
              </w:rPr>
            </w:pPr>
            <w:r w:rsidRPr="00BF3A2E">
              <w:rPr>
                <w:rFonts w:ascii="Arial" w:hAnsi="Arial" w:cs="Arial"/>
                <w:b/>
                <w:color w:val="000000"/>
                <w:sz w:val="24"/>
                <w:szCs w:val="24"/>
              </w:rPr>
              <w:t xml:space="preserve">Eheliche Notvertretung </w:t>
            </w:r>
          </w:p>
        </w:tc>
        <w:tc>
          <w:tcPr>
            <w:tcW w:w="7433" w:type="dxa"/>
          </w:tcPr>
          <w:p w14:paraId="2F6146AC" w14:textId="77777777" w:rsidR="00BF3A2E" w:rsidRPr="00BF3A2E" w:rsidRDefault="00BF3A2E" w:rsidP="00BF3A2E">
            <w:pPr>
              <w:spacing w:before="120" w:after="120"/>
              <w:rPr>
                <w:rFonts w:ascii="Arial" w:hAnsi="Arial" w:cs="Arial"/>
                <w:bCs/>
                <w:color w:val="000000"/>
                <w:sz w:val="24"/>
                <w:szCs w:val="24"/>
              </w:rPr>
            </w:pPr>
            <w:r w:rsidRPr="00BF3A2E">
              <w:rPr>
                <w:rFonts w:ascii="Arial" w:hAnsi="Arial" w:cs="Arial"/>
                <w:bCs/>
                <w:color w:val="000000"/>
                <w:sz w:val="24"/>
                <w:szCs w:val="24"/>
              </w:rPr>
              <w:t xml:space="preserve">Seit 2023 dürfen Ehegatten für den Ehepartner – der krankheitsbedingt nicht selbst entscheiden kann – übergangsweise (6 Monate) gesundheitsbezogene Entscheidungen treffen – sofern ein Arzt die Notlage bescheinigt und keine anderen Vollmachten entgegenstehen (§ 1358 BGB). </w:t>
            </w:r>
          </w:p>
        </w:tc>
      </w:tr>
      <w:tr w:rsidR="00BF3A2E" w:rsidRPr="00BF3A2E" w14:paraId="1576F364" w14:textId="77777777" w:rsidTr="00BF3A2E">
        <w:tblPrEx>
          <w:tblCellMar>
            <w:top w:w="0" w:type="dxa"/>
            <w:bottom w:w="0" w:type="dxa"/>
          </w:tblCellMar>
        </w:tblPrEx>
        <w:trPr>
          <w:trHeight w:val="1167"/>
          <w:jc w:val="center"/>
        </w:trPr>
        <w:tc>
          <w:tcPr>
            <w:tcW w:w="2715" w:type="dxa"/>
            <w:shd w:val="clear" w:color="auto" w:fill="FCCBA2"/>
          </w:tcPr>
          <w:p w14:paraId="6D740F73" w14:textId="37F706B2" w:rsidR="00BF3A2E" w:rsidRPr="00BF3A2E" w:rsidRDefault="00BF3A2E" w:rsidP="00BF3A2E">
            <w:pPr>
              <w:spacing w:before="120" w:after="120"/>
              <w:rPr>
                <w:rFonts w:ascii="Arial" w:hAnsi="Arial" w:cs="Arial"/>
                <w:b/>
                <w:color w:val="000000"/>
                <w:sz w:val="24"/>
                <w:szCs w:val="24"/>
              </w:rPr>
            </w:pPr>
            <w:r w:rsidRPr="00BF3A2E">
              <w:rPr>
                <w:rFonts w:ascii="Arial" w:hAnsi="Arial" w:cs="Arial"/>
                <w:b/>
                <w:color w:val="000000"/>
                <w:sz w:val="24"/>
                <w:szCs w:val="24"/>
              </w:rPr>
              <w:t>Gesetz</w:t>
            </w:r>
            <w:r w:rsidRPr="00BF3A2E">
              <w:rPr>
                <w:rFonts w:ascii="Arial" w:hAnsi="Arial" w:cs="Arial"/>
                <w:b/>
                <w:color w:val="000000"/>
                <w:sz w:val="24"/>
                <w:szCs w:val="24"/>
              </w:rPr>
              <w:softHyphen/>
              <w:t xml:space="preserve">liche Betreuung </w:t>
            </w:r>
          </w:p>
        </w:tc>
        <w:tc>
          <w:tcPr>
            <w:tcW w:w="7433" w:type="dxa"/>
          </w:tcPr>
          <w:p w14:paraId="18819761" w14:textId="77777777" w:rsidR="00BF3A2E" w:rsidRPr="00BF3A2E" w:rsidRDefault="00BF3A2E" w:rsidP="00BF3A2E">
            <w:pPr>
              <w:spacing w:before="120" w:after="120"/>
              <w:rPr>
                <w:rFonts w:ascii="Arial" w:hAnsi="Arial" w:cs="Arial"/>
                <w:bCs/>
                <w:color w:val="000000"/>
                <w:sz w:val="24"/>
                <w:szCs w:val="24"/>
              </w:rPr>
            </w:pPr>
            <w:r w:rsidRPr="00BF3A2E">
              <w:rPr>
                <w:rFonts w:ascii="Arial" w:hAnsi="Arial" w:cs="Arial"/>
                <w:bCs/>
                <w:color w:val="000000"/>
                <w:sz w:val="24"/>
                <w:szCs w:val="24"/>
              </w:rPr>
              <w:t>Die Betreuung wird vom Betreuungsgericht für bestimmte Aufgabenkreise festgelegt. Diese kön</w:t>
            </w:r>
            <w:r w:rsidRPr="00BF3A2E">
              <w:rPr>
                <w:rFonts w:ascii="Arial" w:hAnsi="Arial" w:cs="Arial"/>
                <w:bCs/>
                <w:color w:val="000000"/>
                <w:sz w:val="24"/>
                <w:szCs w:val="24"/>
              </w:rPr>
              <w:softHyphen/>
              <w:t>nen z. B. die Gesundheitssorge, Vermögenssorge, Wohnungsangelegenheiten, Aufenthaltsbestim</w:t>
            </w:r>
            <w:r w:rsidRPr="00BF3A2E">
              <w:rPr>
                <w:rFonts w:ascii="Arial" w:hAnsi="Arial" w:cs="Arial"/>
                <w:bCs/>
                <w:color w:val="000000"/>
                <w:sz w:val="24"/>
                <w:szCs w:val="24"/>
              </w:rPr>
              <w:softHyphen/>
              <w:t xml:space="preserve">mung, Vertretung gegenüber Behörden (oder mehrere davon) umfassen. Der Betreuer kann eine Privatperson (z. B. Verwandter), Berufsbetreuer oder Mitarbeiter eines Betreuungsvereins sein. Er darf nur im zugewiesenen Aufgabenkreis tätig werden. </w:t>
            </w:r>
          </w:p>
          <w:p w14:paraId="3E992D98" w14:textId="77777777" w:rsidR="00BF3A2E" w:rsidRPr="00BF3A2E" w:rsidRDefault="00BF3A2E" w:rsidP="00BF3A2E">
            <w:pPr>
              <w:spacing w:before="120" w:after="120"/>
              <w:rPr>
                <w:rFonts w:ascii="Arial" w:hAnsi="Arial" w:cs="Arial"/>
                <w:bCs/>
                <w:color w:val="000000"/>
                <w:sz w:val="24"/>
                <w:szCs w:val="24"/>
              </w:rPr>
            </w:pPr>
            <w:r w:rsidRPr="00BF3A2E">
              <w:rPr>
                <w:rFonts w:ascii="Arial" w:hAnsi="Arial" w:cs="Arial"/>
                <w:bCs/>
                <w:color w:val="000000"/>
                <w:sz w:val="24"/>
                <w:szCs w:val="24"/>
              </w:rPr>
              <w:t>Die Bestellung des Betreuers erfolgt vom Amts wegen oder nach Anregung durch das soziale Um</w:t>
            </w:r>
            <w:r w:rsidRPr="00BF3A2E">
              <w:rPr>
                <w:rFonts w:ascii="Arial" w:hAnsi="Arial" w:cs="Arial"/>
                <w:bCs/>
                <w:color w:val="000000"/>
                <w:sz w:val="24"/>
                <w:szCs w:val="24"/>
              </w:rPr>
              <w:softHyphen/>
              <w:t>feld (auch durch Pflegedienste oder -einrichtungen möglich). Der Betreute kann zuvor eine Be</w:t>
            </w:r>
            <w:r w:rsidRPr="00BF3A2E">
              <w:rPr>
                <w:rFonts w:ascii="Arial" w:hAnsi="Arial" w:cs="Arial"/>
                <w:bCs/>
                <w:color w:val="000000"/>
                <w:sz w:val="24"/>
                <w:szCs w:val="24"/>
              </w:rPr>
              <w:softHyphen/>
            </w:r>
            <w:r w:rsidRPr="00BF3A2E">
              <w:rPr>
                <w:rFonts w:ascii="Arial" w:hAnsi="Arial" w:cs="Arial"/>
                <w:bCs/>
                <w:color w:val="000000"/>
                <w:sz w:val="24"/>
                <w:szCs w:val="24"/>
              </w:rPr>
              <w:lastRenderedPageBreak/>
              <w:t xml:space="preserve">treuungsverfügung erstellen und dort festlegen, welche Person für welche Aufgaben als Betreuer bestellt werden soll. </w:t>
            </w:r>
          </w:p>
        </w:tc>
      </w:tr>
      <w:tr w:rsidR="00BF3A2E" w:rsidRPr="00BF3A2E" w14:paraId="5DB0F3D8" w14:textId="77777777" w:rsidTr="00BF3A2E">
        <w:tblPrEx>
          <w:tblCellMar>
            <w:top w:w="0" w:type="dxa"/>
            <w:bottom w:w="0" w:type="dxa"/>
          </w:tblCellMar>
        </w:tblPrEx>
        <w:trPr>
          <w:trHeight w:val="387"/>
          <w:jc w:val="center"/>
        </w:trPr>
        <w:tc>
          <w:tcPr>
            <w:tcW w:w="2715" w:type="dxa"/>
            <w:shd w:val="clear" w:color="auto" w:fill="FCCBA2"/>
          </w:tcPr>
          <w:p w14:paraId="0F640EA2" w14:textId="77777777" w:rsidR="00BF3A2E" w:rsidRPr="00BF3A2E" w:rsidRDefault="00BF3A2E" w:rsidP="00BF3A2E">
            <w:pPr>
              <w:spacing w:before="120" w:after="120"/>
              <w:rPr>
                <w:rFonts w:ascii="Arial" w:hAnsi="Arial" w:cs="Arial"/>
                <w:b/>
                <w:color w:val="000000"/>
                <w:sz w:val="24"/>
                <w:szCs w:val="24"/>
              </w:rPr>
            </w:pPr>
            <w:r w:rsidRPr="00BF3A2E">
              <w:rPr>
                <w:rFonts w:ascii="Arial" w:hAnsi="Arial" w:cs="Arial"/>
                <w:b/>
                <w:color w:val="000000"/>
                <w:sz w:val="24"/>
                <w:szCs w:val="24"/>
              </w:rPr>
              <w:lastRenderedPageBreak/>
              <w:t>Bankvoll</w:t>
            </w:r>
            <w:r w:rsidRPr="00BF3A2E">
              <w:rPr>
                <w:rFonts w:ascii="Arial" w:hAnsi="Arial" w:cs="Arial"/>
                <w:b/>
                <w:color w:val="000000"/>
                <w:sz w:val="24"/>
                <w:szCs w:val="24"/>
              </w:rPr>
              <w:softHyphen/>
              <w:t xml:space="preserve">macht </w:t>
            </w:r>
          </w:p>
        </w:tc>
        <w:tc>
          <w:tcPr>
            <w:tcW w:w="7433" w:type="dxa"/>
          </w:tcPr>
          <w:p w14:paraId="0C922563" w14:textId="77777777" w:rsidR="00BF3A2E" w:rsidRPr="00BF3A2E" w:rsidRDefault="00BF3A2E" w:rsidP="00BF3A2E">
            <w:pPr>
              <w:spacing w:before="120" w:after="120"/>
              <w:rPr>
                <w:rFonts w:ascii="Arial" w:hAnsi="Arial" w:cs="Arial"/>
                <w:bCs/>
                <w:color w:val="000000"/>
                <w:sz w:val="24"/>
                <w:szCs w:val="24"/>
              </w:rPr>
            </w:pPr>
            <w:r w:rsidRPr="00BF3A2E">
              <w:rPr>
                <w:rFonts w:ascii="Arial" w:hAnsi="Arial" w:cs="Arial"/>
                <w:bCs/>
                <w:color w:val="000000"/>
                <w:sz w:val="24"/>
                <w:szCs w:val="24"/>
              </w:rPr>
              <w:t xml:space="preserve">Eine Bankvollmacht erlaubt den Zugriff auf Konten, Depots und Schließfächer. Die Kreditinstitute erkennen teilweise nur ihre eigenen Formulare an beziehungsweise fordern Unterschriftsproben vom Bevollmächtigten. </w:t>
            </w:r>
          </w:p>
        </w:tc>
      </w:tr>
      <w:tr w:rsidR="00BF3A2E" w:rsidRPr="00BF3A2E" w14:paraId="0331D5F8" w14:textId="77777777" w:rsidTr="00BF3A2E">
        <w:tblPrEx>
          <w:tblCellMar>
            <w:top w:w="0" w:type="dxa"/>
            <w:bottom w:w="0" w:type="dxa"/>
          </w:tblCellMar>
        </w:tblPrEx>
        <w:trPr>
          <w:trHeight w:val="519"/>
          <w:jc w:val="center"/>
        </w:trPr>
        <w:tc>
          <w:tcPr>
            <w:tcW w:w="2715" w:type="dxa"/>
            <w:shd w:val="clear" w:color="auto" w:fill="FCCBA2"/>
          </w:tcPr>
          <w:p w14:paraId="68879E1A" w14:textId="7679C13C" w:rsidR="00BF3A2E" w:rsidRPr="00BF3A2E" w:rsidRDefault="00BF3A2E" w:rsidP="00BF3A2E">
            <w:pPr>
              <w:spacing w:before="120" w:after="120"/>
              <w:rPr>
                <w:rFonts w:ascii="Arial" w:hAnsi="Arial" w:cs="Arial"/>
                <w:b/>
                <w:color w:val="000000"/>
                <w:sz w:val="24"/>
                <w:szCs w:val="24"/>
              </w:rPr>
            </w:pPr>
            <w:r w:rsidRPr="00BF3A2E">
              <w:rPr>
                <w:rFonts w:ascii="Arial" w:hAnsi="Arial" w:cs="Arial"/>
                <w:b/>
                <w:color w:val="000000"/>
                <w:sz w:val="24"/>
                <w:szCs w:val="24"/>
              </w:rPr>
              <w:t>Schwei</w:t>
            </w:r>
            <w:r w:rsidRPr="00BF3A2E">
              <w:rPr>
                <w:rFonts w:ascii="Arial" w:hAnsi="Arial" w:cs="Arial"/>
                <w:b/>
                <w:color w:val="000000"/>
                <w:sz w:val="24"/>
                <w:szCs w:val="24"/>
              </w:rPr>
              <w:softHyphen/>
              <w:t>gepflicht</w:t>
            </w:r>
            <w:r>
              <w:rPr>
                <w:rFonts w:ascii="Arial" w:hAnsi="Arial" w:cs="Arial"/>
                <w:b/>
                <w:color w:val="000000"/>
                <w:sz w:val="24"/>
                <w:szCs w:val="24"/>
              </w:rPr>
              <w:t>-</w:t>
            </w:r>
            <w:r w:rsidRPr="00BF3A2E">
              <w:rPr>
                <w:rFonts w:ascii="Arial" w:hAnsi="Arial" w:cs="Arial"/>
                <w:b/>
                <w:color w:val="000000"/>
                <w:sz w:val="24"/>
                <w:szCs w:val="24"/>
              </w:rPr>
              <w:t>entbin</w:t>
            </w:r>
            <w:r w:rsidRPr="00BF3A2E">
              <w:rPr>
                <w:rFonts w:ascii="Arial" w:hAnsi="Arial" w:cs="Arial"/>
                <w:b/>
                <w:color w:val="000000"/>
                <w:sz w:val="24"/>
                <w:szCs w:val="24"/>
              </w:rPr>
              <w:softHyphen/>
              <w:t xml:space="preserve">dung </w:t>
            </w:r>
          </w:p>
        </w:tc>
        <w:tc>
          <w:tcPr>
            <w:tcW w:w="7433" w:type="dxa"/>
          </w:tcPr>
          <w:p w14:paraId="35C93638" w14:textId="77777777" w:rsidR="00BF3A2E" w:rsidRPr="00BF3A2E" w:rsidRDefault="00BF3A2E" w:rsidP="00BF3A2E">
            <w:pPr>
              <w:spacing w:before="120" w:after="120"/>
              <w:rPr>
                <w:rFonts w:ascii="Arial" w:hAnsi="Arial" w:cs="Arial"/>
                <w:bCs/>
                <w:color w:val="000000"/>
                <w:sz w:val="24"/>
                <w:szCs w:val="24"/>
              </w:rPr>
            </w:pPr>
            <w:r w:rsidRPr="00BF3A2E">
              <w:rPr>
                <w:rFonts w:ascii="Arial" w:hAnsi="Arial" w:cs="Arial"/>
                <w:bCs/>
                <w:color w:val="000000"/>
                <w:sz w:val="24"/>
                <w:szCs w:val="24"/>
              </w:rPr>
              <w:t xml:space="preserve">Ein Pflegekunde kann seine Ärzte oder den Pflegedienst von der Schweigepflicht gegenüber Personen oder Behörden entbinden. Dies berechtigt die Empfänger von Auskünften jedoch nicht, Entscheidungen im Namen des Kunden/Patienten zu treffen. </w:t>
            </w:r>
          </w:p>
        </w:tc>
      </w:tr>
      <w:tr w:rsidR="00BF3A2E" w:rsidRPr="00BF3A2E" w14:paraId="2E4C9EBE" w14:textId="77777777" w:rsidTr="00BF3A2E">
        <w:tblPrEx>
          <w:tblCellMar>
            <w:top w:w="0" w:type="dxa"/>
            <w:bottom w:w="0" w:type="dxa"/>
          </w:tblCellMar>
        </w:tblPrEx>
        <w:trPr>
          <w:trHeight w:val="777"/>
          <w:jc w:val="center"/>
        </w:trPr>
        <w:tc>
          <w:tcPr>
            <w:tcW w:w="2715" w:type="dxa"/>
            <w:shd w:val="clear" w:color="auto" w:fill="FCCBA2"/>
          </w:tcPr>
          <w:p w14:paraId="29EA337B" w14:textId="77777777" w:rsidR="00BF3A2E" w:rsidRPr="00BF3A2E" w:rsidRDefault="00BF3A2E" w:rsidP="00BF3A2E">
            <w:pPr>
              <w:spacing w:before="120" w:after="120"/>
              <w:rPr>
                <w:rFonts w:ascii="Arial" w:hAnsi="Arial" w:cs="Arial"/>
                <w:b/>
                <w:color w:val="000000"/>
                <w:sz w:val="24"/>
                <w:szCs w:val="24"/>
              </w:rPr>
            </w:pPr>
            <w:r w:rsidRPr="00BF3A2E">
              <w:rPr>
                <w:rFonts w:ascii="Arial" w:hAnsi="Arial" w:cs="Arial"/>
                <w:b/>
                <w:color w:val="000000"/>
                <w:sz w:val="24"/>
                <w:szCs w:val="24"/>
              </w:rPr>
              <w:t>Patien</w:t>
            </w:r>
            <w:r w:rsidRPr="00BF3A2E">
              <w:rPr>
                <w:rFonts w:ascii="Arial" w:hAnsi="Arial" w:cs="Arial"/>
                <w:b/>
                <w:color w:val="000000"/>
                <w:sz w:val="24"/>
                <w:szCs w:val="24"/>
              </w:rPr>
              <w:softHyphen/>
              <w:t>tenver</w:t>
            </w:r>
            <w:r w:rsidRPr="00BF3A2E">
              <w:rPr>
                <w:rFonts w:ascii="Arial" w:hAnsi="Arial" w:cs="Arial"/>
                <w:b/>
                <w:color w:val="000000"/>
                <w:sz w:val="24"/>
                <w:szCs w:val="24"/>
              </w:rPr>
              <w:softHyphen/>
              <w:t xml:space="preserve">fügung </w:t>
            </w:r>
          </w:p>
        </w:tc>
        <w:tc>
          <w:tcPr>
            <w:tcW w:w="7433" w:type="dxa"/>
          </w:tcPr>
          <w:p w14:paraId="18C5CBDB" w14:textId="77777777" w:rsidR="00BF3A2E" w:rsidRPr="00BF3A2E" w:rsidRDefault="00BF3A2E" w:rsidP="00BF3A2E">
            <w:pPr>
              <w:spacing w:before="120" w:after="120"/>
              <w:rPr>
                <w:rFonts w:ascii="Arial" w:hAnsi="Arial" w:cs="Arial"/>
                <w:bCs/>
                <w:color w:val="000000"/>
                <w:sz w:val="24"/>
                <w:szCs w:val="24"/>
              </w:rPr>
            </w:pPr>
            <w:r w:rsidRPr="00BF3A2E">
              <w:rPr>
                <w:rFonts w:ascii="Arial" w:hAnsi="Arial" w:cs="Arial"/>
                <w:bCs/>
                <w:color w:val="000000"/>
                <w:sz w:val="24"/>
                <w:szCs w:val="24"/>
              </w:rPr>
              <w:t>Eine Patientenverfügung bildet im Vorfeld eines möglichen Ernstfalls den eigenen Willen bezüglich medizinischer Versorgung ab. Sie erleichtert es Angehörigen, Entscheidungen im Sinne des Patien</w:t>
            </w:r>
            <w:r w:rsidRPr="00BF3A2E">
              <w:rPr>
                <w:rFonts w:ascii="Arial" w:hAnsi="Arial" w:cs="Arial"/>
                <w:bCs/>
                <w:color w:val="000000"/>
                <w:sz w:val="24"/>
                <w:szCs w:val="24"/>
              </w:rPr>
              <w:softHyphen/>
              <w:t xml:space="preserve">ten zu treffen. </w:t>
            </w:r>
          </w:p>
          <w:p w14:paraId="772A56B0" w14:textId="77777777" w:rsidR="00BF3A2E" w:rsidRPr="00BF3A2E" w:rsidRDefault="00BF3A2E" w:rsidP="00BF3A2E">
            <w:pPr>
              <w:spacing w:before="120" w:after="120"/>
              <w:rPr>
                <w:rFonts w:ascii="Arial" w:hAnsi="Arial" w:cs="Arial"/>
                <w:bCs/>
                <w:color w:val="000000"/>
                <w:sz w:val="24"/>
                <w:szCs w:val="24"/>
              </w:rPr>
            </w:pPr>
            <w:r w:rsidRPr="00BF3A2E">
              <w:rPr>
                <w:rFonts w:ascii="Arial" w:hAnsi="Arial" w:cs="Arial"/>
                <w:bCs/>
                <w:color w:val="000000"/>
                <w:sz w:val="24"/>
                <w:szCs w:val="24"/>
              </w:rPr>
              <w:t xml:space="preserve">Sind die Festlegungen in einer Patientenverfügung zu unkonkret oder auf die konkrete Situation nicht passend, entscheiden die Angehörigen gemeinsam mit der Ärztin oder dem Arzt auf der Grundlage des mutmaßlichen Patientenwillens über die anstehende Behandlung. </w:t>
            </w:r>
          </w:p>
        </w:tc>
      </w:tr>
    </w:tbl>
    <w:p w14:paraId="42B587D0" w14:textId="77777777" w:rsidR="00BF3A2E" w:rsidRDefault="00BF3A2E" w:rsidP="00C73E1A"/>
    <w:sectPr w:rsidR="00BF3A2E" w:rsidSect="00496C3D">
      <w:headerReference w:type="default" r:id="rId9"/>
      <w:pgSz w:w="11906" w:h="16838" w:code="9"/>
      <w:pgMar w:top="-576" w:right="1418" w:bottom="28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60F1" w14:textId="77777777" w:rsidR="0045558D" w:rsidRDefault="0045558D" w:rsidP="002A5D13">
      <w:pPr>
        <w:spacing w:after="0" w:line="240" w:lineRule="auto"/>
      </w:pPr>
      <w:r>
        <w:separator/>
      </w:r>
    </w:p>
  </w:endnote>
  <w:endnote w:type="continuationSeparator" w:id="0">
    <w:p w14:paraId="67C68370" w14:textId="77777777" w:rsidR="0045558D" w:rsidRDefault="0045558D"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9606" w14:textId="77777777" w:rsidR="0045558D" w:rsidRDefault="0045558D" w:rsidP="002A5D13">
      <w:pPr>
        <w:spacing w:after="0" w:line="240" w:lineRule="auto"/>
      </w:pPr>
      <w:r>
        <w:separator/>
      </w:r>
    </w:p>
  </w:footnote>
  <w:footnote w:type="continuationSeparator" w:id="0">
    <w:p w14:paraId="2E80517C" w14:textId="77777777" w:rsidR="0045558D" w:rsidRDefault="0045558D"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533" w:type="pct"/>
      <w:jc w:val="center"/>
      <w:tblCellMar>
        <w:top w:w="72" w:type="dxa"/>
        <w:left w:w="115" w:type="dxa"/>
        <w:bottom w:w="72" w:type="dxa"/>
        <w:right w:w="115" w:type="dxa"/>
      </w:tblCellMar>
      <w:tblLook w:val="04A0" w:firstRow="1" w:lastRow="0" w:firstColumn="1" w:lastColumn="0" w:noHBand="0" w:noVBand="1"/>
    </w:tblPr>
    <w:tblGrid>
      <w:gridCol w:w="2143"/>
      <w:gridCol w:w="6080"/>
    </w:tblGrid>
    <w:tr w:rsidR="00E26939" w14:paraId="50FE07F4" w14:textId="77777777" w:rsidTr="00E26939">
      <w:trPr>
        <w:trHeight w:val="778"/>
        <w:jc w:val="center"/>
      </w:trPr>
      <w:tc>
        <w:tcPr>
          <w:tcW w:w="1303" w:type="pct"/>
          <w:tcBorders>
            <w:bottom w:val="single" w:sz="4" w:space="0" w:color="auto"/>
          </w:tcBorders>
          <w:shd w:val="clear" w:color="auto" w:fill="006793"/>
          <w:vAlign w:val="center"/>
        </w:tcPr>
        <w:p w14:paraId="6ABA9FFE" w14:textId="21FD58CC" w:rsidR="007A7CA7" w:rsidRPr="007A7CA7" w:rsidRDefault="009908DD" w:rsidP="00332CA1">
          <w:pPr>
            <w:pStyle w:val="Kopfzeile"/>
            <w:jc w:val="center"/>
            <w:rPr>
              <w:b/>
              <w:color w:val="FFFFFF"/>
            </w:rPr>
          </w:pPr>
          <w:r>
            <w:rPr>
              <w:b/>
              <w:color w:val="FFFFFF"/>
              <w:sz w:val="24"/>
            </w:rPr>
            <w:t xml:space="preserve">Ausgabe </w:t>
          </w:r>
          <w:r w:rsidR="0018100A">
            <w:rPr>
              <w:b/>
              <w:color w:val="FFFFFF"/>
              <w:sz w:val="24"/>
            </w:rPr>
            <w:t>16</w:t>
          </w:r>
          <w:r>
            <w:rPr>
              <w:b/>
              <w:color w:val="FFFFFF"/>
              <w:sz w:val="24"/>
            </w:rPr>
            <w:t xml:space="preserve"> - 20</w:t>
          </w:r>
          <w:r w:rsidR="0066479A">
            <w:rPr>
              <w:b/>
              <w:color w:val="FFFFFF"/>
              <w:sz w:val="24"/>
            </w:rPr>
            <w:t>2</w:t>
          </w:r>
          <w:r w:rsidR="00AB1A45">
            <w:rPr>
              <w:b/>
              <w:color w:val="FFFFFF"/>
              <w:sz w:val="24"/>
            </w:rPr>
            <w:t>5</w:t>
          </w:r>
        </w:p>
      </w:tc>
      <w:tc>
        <w:tcPr>
          <w:tcW w:w="3697" w:type="pct"/>
          <w:tcBorders>
            <w:bottom w:val="single" w:sz="4" w:space="0" w:color="auto"/>
          </w:tcBorders>
          <w:vAlign w:val="bottom"/>
        </w:tcPr>
        <w:p w14:paraId="44497443" w14:textId="1243A0FE" w:rsidR="008522CE" w:rsidRPr="00EC24AC" w:rsidRDefault="00E26939" w:rsidP="007A7CA7">
          <w:pPr>
            <w:pStyle w:val="Kopfzeile"/>
            <w:rPr>
              <w:b/>
              <w:bCs/>
              <w:color w:val="808080"/>
              <w:sz w:val="16"/>
            </w:rPr>
          </w:pPr>
          <w:r w:rsidRPr="00E26939">
            <w:rPr>
              <w:b/>
              <w:bCs/>
              <w:noProof/>
              <w:color w:val="808080"/>
              <w:sz w:val="16"/>
            </w:rPr>
            <w:drawing>
              <wp:inline distT="0" distB="0" distL="0" distR="0" wp14:anchorId="4783F488" wp14:editId="591378E4">
                <wp:extent cx="3714750" cy="883840"/>
                <wp:effectExtent l="0" t="0" r="0" b="0"/>
                <wp:docPr id="5224815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81502" name=""/>
                        <pic:cNvPicPr/>
                      </pic:nvPicPr>
                      <pic:blipFill>
                        <a:blip r:embed="rId1"/>
                        <a:stretch>
                          <a:fillRect/>
                        </a:stretch>
                      </pic:blipFill>
                      <pic:spPr>
                        <a:xfrm>
                          <a:off x="0" y="0"/>
                          <a:ext cx="3809616" cy="906411"/>
                        </a:xfrm>
                        <a:prstGeom prst="rect">
                          <a:avLst/>
                        </a:prstGeom>
                      </pic:spPr>
                    </pic:pic>
                  </a:graphicData>
                </a:graphic>
              </wp:inline>
            </w:drawing>
          </w:r>
        </w:p>
      </w:tc>
    </w:tr>
  </w:tbl>
  <w:p w14:paraId="2ED1B152"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68021475">
    <w:abstractNumId w:val="9"/>
  </w:num>
  <w:num w:numId="2" w16cid:durableId="1804158717">
    <w:abstractNumId w:val="19"/>
  </w:num>
  <w:num w:numId="3" w16cid:durableId="1548251974">
    <w:abstractNumId w:val="21"/>
  </w:num>
  <w:num w:numId="4" w16cid:durableId="869875702">
    <w:abstractNumId w:val="10"/>
  </w:num>
  <w:num w:numId="5" w16cid:durableId="1526597782">
    <w:abstractNumId w:val="6"/>
  </w:num>
  <w:num w:numId="6" w16cid:durableId="867765150">
    <w:abstractNumId w:val="7"/>
  </w:num>
  <w:num w:numId="7" w16cid:durableId="1798405097">
    <w:abstractNumId w:val="12"/>
  </w:num>
  <w:num w:numId="8" w16cid:durableId="388921494">
    <w:abstractNumId w:val="11"/>
  </w:num>
  <w:num w:numId="9" w16cid:durableId="1308784843">
    <w:abstractNumId w:val="8"/>
  </w:num>
  <w:num w:numId="10" w16cid:durableId="998121745">
    <w:abstractNumId w:val="5"/>
  </w:num>
  <w:num w:numId="11" w16cid:durableId="1808205416">
    <w:abstractNumId w:val="20"/>
  </w:num>
  <w:num w:numId="12" w16cid:durableId="210113988">
    <w:abstractNumId w:val="14"/>
  </w:num>
  <w:num w:numId="13" w16cid:durableId="1970042432">
    <w:abstractNumId w:val="15"/>
  </w:num>
  <w:num w:numId="14" w16cid:durableId="1035348882">
    <w:abstractNumId w:val="13"/>
  </w:num>
  <w:num w:numId="15" w16cid:durableId="300035607">
    <w:abstractNumId w:val="16"/>
  </w:num>
  <w:num w:numId="16" w16cid:durableId="978144461">
    <w:abstractNumId w:val="17"/>
  </w:num>
  <w:num w:numId="17" w16cid:durableId="638414688">
    <w:abstractNumId w:val="18"/>
  </w:num>
  <w:num w:numId="18" w16cid:durableId="1809593188">
    <w:abstractNumId w:val="4"/>
  </w:num>
  <w:num w:numId="19" w16cid:durableId="310256859">
    <w:abstractNumId w:val="3"/>
  </w:num>
  <w:num w:numId="20" w16cid:durableId="484276499">
    <w:abstractNumId w:val="2"/>
  </w:num>
  <w:num w:numId="21" w16cid:durableId="542445318">
    <w:abstractNumId w:val="1"/>
  </w:num>
  <w:num w:numId="22" w16cid:durableId="68853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43D60"/>
    <w:rsid w:val="000779E6"/>
    <w:rsid w:val="00092CAA"/>
    <w:rsid w:val="000B50CC"/>
    <w:rsid w:val="000C6A2D"/>
    <w:rsid w:val="00111E67"/>
    <w:rsid w:val="0015409B"/>
    <w:rsid w:val="0018100A"/>
    <w:rsid w:val="001A70C9"/>
    <w:rsid w:val="001B429B"/>
    <w:rsid w:val="00205D0C"/>
    <w:rsid w:val="00221BA5"/>
    <w:rsid w:val="00253097"/>
    <w:rsid w:val="0027096C"/>
    <w:rsid w:val="002766CF"/>
    <w:rsid w:val="0028515F"/>
    <w:rsid w:val="00287D7D"/>
    <w:rsid w:val="002A5D13"/>
    <w:rsid w:val="002B029B"/>
    <w:rsid w:val="002B4419"/>
    <w:rsid w:val="002D45E4"/>
    <w:rsid w:val="002E4378"/>
    <w:rsid w:val="00332CA1"/>
    <w:rsid w:val="003511D4"/>
    <w:rsid w:val="003615F4"/>
    <w:rsid w:val="003676E3"/>
    <w:rsid w:val="00380EF0"/>
    <w:rsid w:val="003A4ED1"/>
    <w:rsid w:val="003E3400"/>
    <w:rsid w:val="00433F51"/>
    <w:rsid w:val="0045558D"/>
    <w:rsid w:val="004639C0"/>
    <w:rsid w:val="004955F6"/>
    <w:rsid w:val="00496C3D"/>
    <w:rsid w:val="004A47F9"/>
    <w:rsid w:val="004C2396"/>
    <w:rsid w:val="0050689E"/>
    <w:rsid w:val="00534FB6"/>
    <w:rsid w:val="00551B88"/>
    <w:rsid w:val="00587D31"/>
    <w:rsid w:val="00614D0A"/>
    <w:rsid w:val="00653E72"/>
    <w:rsid w:val="00661981"/>
    <w:rsid w:val="0066479A"/>
    <w:rsid w:val="006826A0"/>
    <w:rsid w:val="006A5CFE"/>
    <w:rsid w:val="006B797D"/>
    <w:rsid w:val="006E18EF"/>
    <w:rsid w:val="00725FA4"/>
    <w:rsid w:val="00743E5F"/>
    <w:rsid w:val="007A7CA7"/>
    <w:rsid w:val="007B0290"/>
    <w:rsid w:val="007C0AE5"/>
    <w:rsid w:val="007D58D2"/>
    <w:rsid w:val="007E1A2E"/>
    <w:rsid w:val="00810CD0"/>
    <w:rsid w:val="00841FA8"/>
    <w:rsid w:val="008522CE"/>
    <w:rsid w:val="00852BFB"/>
    <w:rsid w:val="00860ECB"/>
    <w:rsid w:val="008633AC"/>
    <w:rsid w:val="008838E4"/>
    <w:rsid w:val="00887070"/>
    <w:rsid w:val="008B1F83"/>
    <w:rsid w:val="008B7A2C"/>
    <w:rsid w:val="008C0D29"/>
    <w:rsid w:val="008E3374"/>
    <w:rsid w:val="008E4B8D"/>
    <w:rsid w:val="008E62B1"/>
    <w:rsid w:val="00937B0B"/>
    <w:rsid w:val="0094172F"/>
    <w:rsid w:val="009433D9"/>
    <w:rsid w:val="00983536"/>
    <w:rsid w:val="009908DD"/>
    <w:rsid w:val="009B721F"/>
    <w:rsid w:val="009E79DF"/>
    <w:rsid w:val="00A06C64"/>
    <w:rsid w:val="00A24EA3"/>
    <w:rsid w:val="00A24F05"/>
    <w:rsid w:val="00AB1A45"/>
    <w:rsid w:val="00AC4A16"/>
    <w:rsid w:val="00B01FFE"/>
    <w:rsid w:val="00B707AF"/>
    <w:rsid w:val="00B77525"/>
    <w:rsid w:val="00B87D52"/>
    <w:rsid w:val="00BD71E9"/>
    <w:rsid w:val="00BF3A2E"/>
    <w:rsid w:val="00BF7A72"/>
    <w:rsid w:val="00C310AF"/>
    <w:rsid w:val="00C73E1A"/>
    <w:rsid w:val="00CC38C8"/>
    <w:rsid w:val="00CF7045"/>
    <w:rsid w:val="00D758F4"/>
    <w:rsid w:val="00DB32C7"/>
    <w:rsid w:val="00DF4466"/>
    <w:rsid w:val="00E2265E"/>
    <w:rsid w:val="00E26939"/>
    <w:rsid w:val="00E353A3"/>
    <w:rsid w:val="00EC24AC"/>
    <w:rsid w:val="00EC3153"/>
    <w:rsid w:val="00F20663"/>
    <w:rsid w:val="00F27330"/>
    <w:rsid w:val="00F43559"/>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C0809"/>
  <w15:chartTrackingRefBased/>
  <w15:docId w15:val="{34E61B2E-A1BB-499B-A7CA-A424FAD6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55CC45-F35D-4848-8AED-5115BE2A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2787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2025-07-27T22:53:00Z</dcterms:created>
  <dcterms:modified xsi:type="dcterms:W3CDTF">2025-07-27T22:53:00Z</dcterms:modified>
</cp:coreProperties>
</file>