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113E482D" w14:textId="77777777" w:rsidR="00D27536" w:rsidRDefault="00D27536" w:rsidP="00C73E1A"/>
    <w:p w14:paraId="304C1238" w14:textId="77777777" w:rsidR="00981C3E" w:rsidRDefault="00981C3E" w:rsidP="00EA24B0">
      <w:pPr>
        <w:spacing w:before="120" w:after="120"/>
        <w:rPr>
          <w:rFonts w:ascii="Arial" w:hAnsi="Arial" w:cs="Arial"/>
          <w:color w:val="000000"/>
          <w:sz w:val="24"/>
        </w:rPr>
      </w:pPr>
    </w:p>
    <w:p w14:paraId="3E53F3CC" w14:textId="77777777" w:rsidR="007769F3" w:rsidRDefault="007769F3" w:rsidP="00EA24B0">
      <w:pPr>
        <w:spacing w:before="120" w:after="120"/>
        <w:rPr>
          <w:rFonts w:ascii="Arial" w:hAnsi="Arial" w:cs="Arial"/>
          <w:color w:val="000000"/>
          <w:sz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7769F3" w:rsidRPr="007769F3" w14:paraId="69F22906" w14:textId="77777777" w:rsidTr="00FD2482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8926" w:type="dxa"/>
            <w:shd w:val="clear" w:color="auto" w:fill="006793"/>
          </w:tcPr>
          <w:p w14:paraId="73143996" w14:textId="04BC9551" w:rsidR="007769F3" w:rsidRPr="007769F3" w:rsidRDefault="007769F3" w:rsidP="00FD248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7769F3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</w:t>
            </w:r>
            <w:r w:rsidR="00FD2482" w:rsidRPr="00FD2482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Nachteile einer GmbH</w:t>
            </w:r>
          </w:p>
        </w:tc>
      </w:tr>
      <w:tr w:rsidR="00FD2482" w:rsidRPr="007769F3" w14:paraId="118BC21A" w14:textId="77777777" w:rsidTr="00FD2482">
        <w:tblPrEx>
          <w:tblCellMar>
            <w:top w:w="0" w:type="dxa"/>
            <w:bottom w:w="0" w:type="dxa"/>
          </w:tblCellMar>
        </w:tblPrEx>
        <w:trPr>
          <w:trHeight w:val="1815"/>
          <w:jc w:val="center"/>
        </w:trPr>
        <w:tc>
          <w:tcPr>
            <w:tcW w:w="8926" w:type="dxa"/>
          </w:tcPr>
          <w:p w14:paraId="36AD2105" w14:textId="07220186" w:rsidR="00FD2482" w:rsidRPr="00FD2482" w:rsidRDefault="00FD2482" w:rsidP="00FD2482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D2482">
              <w:rPr>
                <w:rFonts w:ascii="Arial" w:hAnsi="Arial" w:cs="Arial"/>
                <w:color w:val="000000"/>
                <w:sz w:val="24"/>
              </w:rPr>
              <w:t xml:space="preserve">Für die GmbH muss ein Gesellschaftsvertrag entwickelt und von der Gründungsversammlung beschlossen werden. </w:t>
            </w:r>
          </w:p>
          <w:p w14:paraId="2AD8941C" w14:textId="3EA1174B" w:rsidR="00FD2482" w:rsidRPr="00FD2482" w:rsidRDefault="00FD2482" w:rsidP="00FD2482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D2482">
              <w:rPr>
                <w:rFonts w:ascii="Arial" w:hAnsi="Arial" w:cs="Arial"/>
                <w:color w:val="000000"/>
                <w:sz w:val="24"/>
              </w:rPr>
              <w:t>Der Gesellschaftervertrag und die Geschäfts</w:t>
            </w:r>
            <w:r w:rsidRPr="00FD2482">
              <w:rPr>
                <w:rFonts w:ascii="Arial" w:hAnsi="Arial" w:cs="Arial"/>
                <w:color w:val="000000"/>
                <w:sz w:val="24"/>
              </w:rPr>
              <w:softHyphen/>
              <w:t xml:space="preserve">führerbestellung müssen notariell beurkundet werden (Kosten ca. 400 €). </w:t>
            </w:r>
          </w:p>
          <w:p w14:paraId="51B6C119" w14:textId="45077921" w:rsidR="00FD2482" w:rsidRPr="00FD2482" w:rsidRDefault="00FD2482" w:rsidP="00FD2482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D2482">
              <w:rPr>
                <w:rFonts w:ascii="Arial" w:hAnsi="Arial" w:cs="Arial"/>
                <w:color w:val="000000"/>
                <w:sz w:val="24"/>
              </w:rPr>
              <w:t xml:space="preserve">Eine Anmeldung und Eintragung ins Handelsregister sind vorgeschrieben. </w:t>
            </w:r>
          </w:p>
          <w:p w14:paraId="6B1ACE7F" w14:textId="4ABEBB82" w:rsidR="00FD2482" w:rsidRPr="00FD2482" w:rsidRDefault="00FD2482" w:rsidP="00FD2482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D2482">
              <w:rPr>
                <w:rFonts w:ascii="Arial" w:hAnsi="Arial" w:cs="Arial"/>
                <w:color w:val="000000"/>
                <w:sz w:val="24"/>
              </w:rPr>
              <w:t>Der/die Gesellschafter muss/müssen ein Stamm</w:t>
            </w:r>
            <w:r w:rsidRPr="00FD2482">
              <w:rPr>
                <w:rFonts w:ascii="Arial" w:hAnsi="Arial" w:cs="Arial"/>
                <w:color w:val="000000"/>
                <w:sz w:val="24"/>
              </w:rPr>
              <w:softHyphen/>
              <w:t>kapital von mindestens 25.000 € einbringen. Das Stammkapital kann maximal zur Hälfte auch durch Sachwerte, wie z. B. Kraftfahrzeuge, er</w:t>
            </w:r>
            <w:r w:rsidRPr="00FD2482">
              <w:rPr>
                <w:rFonts w:ascii="Arial" w:hAnsi="Arial" w:cs="Arial"/>
                <w:color w:val="000000"/>
                <w:sz w:val="24"/>
              </w:rPr>
              <w:softHyphen/>
              <w:t xml:space="preserve">bracht werden. </w:t>
            </w:r>
          </w:p>
          <w:p w14:paraId="7E70C5FC" w14:textId="122C3FDF" w:rsidR="00FD2482" w:rsidRPr="00FD2482" w:rsidRDefault="00FD2482" w:rsidP="00FD2482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D2482">
              <w:rPr>
                <w:rFonts w:ascii="Arial" w:hAnsi="Arial" w:cs="Arial"/>
                <w:color w:val="000000"/>
                <w:sz w:val="24"/>
              </w:rPr>
              <w:t xml:space="preserve">Eine GmbH ist zur doppelten Buchführung und Bilanzierung verpflichtet (gilt ab 500.000 € Umsatz aber auch für Einzelunternehmer). Der Jahresabschluss wird im Handelsregister veröffentlicht. </w:t>
            </w:r>
          </w:p>
          <w:p w14:paraId="3E6A5D58" w14:textId="29340615" w:rsidR="00FD2482" w:rsidRPr="00FD2482" w:rsidRDefault="00FD2482" w:rsidP="00FD2482">
            <w:pPr>
              <w:pStyle w:val="Listenabsatz"/>
              <w:numPr>
                <w:ilvl w:val="0"/>
                <w:numId w:val="28"/>
              </w:numPr>
              <w:spacing w:before="120" w:after="120" w:line="276" w:lineRule="auto"/>
              <w:rPr>
                <w:rFonts w:ascii="Arial" w:hAnsi="Arial" w:cs="Arial"/>
                <w:color w:val="000000"/>
                <w:sz w:val="24"/>
              </w:rPr>
            </w:pPr>
            <w:r w:rsidRPr="00FD2482">
              <w:rPr>
                <w:rFonts w:ascii="Arial" w:hAnsi="Arial" w:cs="Arial"/>
                <w:color w:val="000000"/>
                <w:sz w:val="24"/>
              </w:rPr>
              <w:t xml:space="preserve">Die Beteiligungsverhältnisse sowie die Jahresabschlüsse können von jedermann, also z. B. auch von Kostenträgern, beim Handelsregister eingesehen werden. </w:t>
            </w:r>
          </w:p>
        </w:tc>
      </w:tr>
    </w:tbl>
    <w:p w14:paraId="21BFB63F" w14:textId="77777777" w:rsidR="007769F3" w:rsidRPr="00EA24B0" w:rsidRDefault="007769F3" w:rsidP="00EA24B0">
      <w:pPr>
        <w:spacing w:before="120" w:after="120"/>
        <w:rPr>
          <w:rFonts w:ascii="Arial" w:hAnsi="Arial" w:cs="Arial"/>
          <w:color w:val="000000"/>
          <w:sz w:val="24"/>
        </w:rPr>
      </w:pPr>
    </w:p>
    <w:sectPr w:rsidR="007769F3" w:rsidRPr="00EA24B0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4E927D22" w14:textId="36EEA029" w:rsidR="007A7CA7" w:rsidRDefault="009908DD" w:rsidP="00332CA1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8100A">
            <w:rPr>
              <w:b/>
              <w:color w:val="FFFFFF"/>
              <w:sz w:val="24"/>
            </w:rPr>
            <w:t>16</w:t>
          </w:r>
          <w:r>
            <w:rPr>
              <w:b/>
              <w:color w:val="FFFFFF"/>
              <w:sz w:val="24"/>
            </w:rPr>
            <w:t xml:space="preserve"> </w:t>
          </w:r>
          <w:r w:rsidR="007103A3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  <w:p w14:paraId="6ABA9FFE" w14:textId="6F0E31AD" w:rsidR="007103A3" w:rsidRPr="007A7CA7" w:rsidRDefault="007103A3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TH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69E77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70CC3"/>
    <w:multiLevelType w:val="hybridMultilevel"/>
    <w:tmpl w:val="9E909F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31E50"/>
    <w:multiLevelType w:val="hybridMultilevel"/>
    <w:tmpl w:val="57E2F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13B71"/>
    <w:multiLevelType w:val="hybridMultilevel"/>
    <w:tmpl w:val="342E5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73C18"/>
    <w:multiLevelType w:val="hybridMultilevel"/>
    <w:tmpl w:val="3300E8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E62C1"/>
    <w:multiLevelType w:val="hybridMultilevel"/>
    <w:tmpl w:val="C46CF2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0"/>
  </w:num>
  <w:num w:numId="2" w16cid:durableId="1804158717">
    <w:abstractNumId w:val="21"/>
  </w:num>
  <w:num w:numId="3" w16cid:durableId="1548251974">
    <w:abstractNumId w:val="27"/>
  </w:num>
  <w:num w:numId="4" w16cid:durableId="869875702">
    <w:abstractNumId w:val="11"/>
  </w:num>
  <w:num w:numId="5" w16cid:durableId="1526597782">
    <w:abstractNumId w:val="7"/>
  </w:num>
  <w:num w:numId="6" w16cid:durableId="867765150">
    <w:abstractNumId w:val="8"/>
  </w:num>
  <w:num w:numId="7" w16cid:durableId="1798405097">
    <w:abstractNumId w:val="14"/>
  </w:num>
  <w:num w:numId="8" w16cid:durableId="388921494">
    <w:abstractNumId w:val="13"/>
  </w:num>
  <w:num w:numId="9" w16cid:durableId="1308784843">
    <w:abstractNumId w:val="9"/>
  </w:num>
  <w:num w:numId="10" w16cid:durableId="998121745">
    <w:abstractNumId w:val="6"/>
  </w:num>
  <w:num w:numId="11" w16cid:durableId="1808205416">
    <w:abstractNumId w:val="23"/>
  </w:num>
  <w:num w:numId="12" w16cid:durableId="210113988">
    <w:abstractNumId w:val="16"/>
  </w:num>
  <w:num w:numId="13" w16cid:durableId="1970042432">
    <w:abstractNumId w:val="17"/>
  </w:num>
  <w:num w:numId="14" w16cid:durableId="1035348882">
    <w:abstractNumId w:val="15"/>
  </w:num>
  <w:num w:numId="15" w16cid:durableId="300035607">
    <w:abstractNumId w:val="18"/>
  </w:num>
  <w:num w:numId="16" w16cid:durableId="978144461">
    <w:abstractNumId w:val="19"/>
  </w:num>
  <w:num w:numId="17" w16cid:durableId="638414688">
    <w:abstractNumId w:val="20"/>
  </w:num>
  <w:num w:numId="18" w16cid:durableId="1809593188">
    <w:abstractNumId w:val="5"/>
  </w:num>
  <w:num w:numId="19" w16cid:durableId="310256859">
    <w:abstractNumId w:val="4"/>
  </w:num>
  <w:num w:numId="20" w16cid:durableId="484276499">
    <w:abstractNumId w:val="3"/>
  </w:num>
  <w:num w:numId="21" w16cid:durableId="542445318">
    <w:abstractNumId w:val="2"/>
  </w:num>
  <w:num w:numId="22" w16cid:durableId="688532022">
    <w:abstractNumId w:val="1"/>
  </w:num>
  <w:num w:numId="23" w16cid:durableId="1777142246">
    <w:abstractNumId w:val="25"/>
  </w:num>
  <w:num w:numId="24" w16cid:durableId="324284889">
    <w:abstractNumId w:val="0"/>
  </w:num>
  <w:num w:numId="25" w16cid:durableId="1341156635">
    <w:abstractNumId w:val="26"/>
  </w:num>
  <w:num w:numId="26" w16cid:durableId="884558111">
    <w:abstractNumId w:val="24"/>
  </w:num>
  <w:num w:numId="27" w16cid:durableId="50468009">
    <w:abstractNumId w:val="22"/>
  </w:num>
  <w:num w:numId="28" w16cid:durableId="6827034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8100A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373DD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73A17"/>
    <w:rsid w:val="006826A0"/>
    <w:rsid w:val="006A5CFE"/>
    <w:rsid w:val="006B797D"/>
    <w:rsid w:val="006E18EF"/>
    <w:rsid w:val="007103A3"/>
    <w:rsid w:val="00725FA4"/>
    <w:rsid w:val="00743E5F"/>
    <w:rsid w:val="007769F3"/>
    <w:rsid w:val="007A7CA7"/>
    <w:rsid w:val="007B0290"/>
    <w:rsid w:val="007C0AE5"/>
    <w:rsid w:val="007D58D2"/>
    <w:rsid w:val="007E1A2E"/>
    <w:rsid w:val="007F3D2A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1C3E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3A2E"/>
    <w:rsid w:val="00BF7A72"/>
    <w:rsid w:val="00C310AF"/>
    <w:rsid w:val="00C73E1A"/>
    <w:rsid w:val="00CB3FD0"/>
    <w:rsid w:val="00CC38C8"/>
    <w:rsid w:val="00CF7045"/>
    <w:rsid w:val="00D27536"/>
    <w:rsid w:val="00D758F4"/>
    <w:rsid w:val="00DB32C7"/>
    <w:rsid w:val="00DF4466"/>
    <w:rsid w:val="00E2265E"/>
    <w:rsid w:val="00E26939"/>
    <w:rsid w:val="00E353A3"/>
    <w:rsid w:val="00EA24B0"/>
    <w:rsid w:val="00EC24AC"/>
    <w:rsid w:val="00EC3153"/>
    <w:rsid w:val="00F20663"/>
    <w:rsid w:val="00F27330"/>
    <w:rsid w:val="00F43559"/>
    <w:rsid w:val="00F45E6C"/>
    <w:rsid w:val="00FA19D7"/>
    <w:rsid w:val="00FC278E"/>
    <w:rsid w:val="00FD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9">
    <w:name w:val="Pa9"/>
    <w:basedOn w:val="Standard"/>
    <w:next w:val="Standard"/>
    <w:uiPriority w:val="99"/>
    <w:rsid w:val="00FD2482"/>
    <w:pPr>
      <w:autoSpaceDE w:val="0"/>
      <w:autoSpaceDN w:val="0"/>
      <w:adjustRightInd w:val="0"/>
      <w:spacing w:after="0" w:line="201" w:lineRule="atLeast"/>
    </w:pPr>
    <w:rPr>
      <w:rFonts w:ascii="Open Sans" w:hAnsi="Open Sans"/>
      <w:sz w:val="24"/>
      <w:szCs w:val="24"/>
      <w:lang w:eastAsia="de-DE"/>
    </w:rPr>
  </w:style>
  <w:style w:type="paragraph" w:customStyle="1" w:styleId="Default">
    <w:name w:val="Default"/>
    <w:rsid w:val="00FD2482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A8">
    <w:name w:val="A8"/>
    <w:uiPriority w:val="99"/>
    <w:rsid w:val="00FD2482"/>
    <w:rPr>
      <w:rFonts w:cs="Open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2025-07-27T23:14:00Z</dcterms:created>
  <dcterms:modified xsi:type="dcterms:W3CDTF">2025-07-27T23:14:00Z</dcterms:modified>
</cp:coreProperties>
</file>