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113E482D" w14:textId="77777777" w:rsidR="00D27536" w:rsidRDefault="00D27536" w:rsidP="00C73E1A"/>
    <w:p w14:paraId="04A705A6" w14:textId="77777777" w:rsidR="00F066CA" w:rsidRDefault="00F066CA" w:rsidP="00EA24B0">
      <w:pPr>
        <w:spacing w:before="120" w:after="120"/>
        <w:rPr>
          <w:rFonts w:ascii="Arial" w:hAnsi="Arial" w:cs="Arial"/>
          <w:color w:val="000000"/>
          <w:sz w:val="24"/>
        </w:rPr>
      </w:pPr>
    </w:p>
    <w:p w14:paraId="50ADA1C9" w14:textId="77777777" w:rsidR="00E64098" w:rsidRDefault="00E64098" w:rsidP="00EA24B0">
      <w:pPr>
        <w:spacing w:before="120" w:after="120"/>
        <w:rPr>
          <w:rFonts w:ascii="Arial" w:hAnsi="Arial" w:cs="Arial"/>
          <w:color w:val="000000"/>
          <w:sz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701"/>
        <w:gridCol w:w="2551"/>
        <w:gridCol w:w="2283"/>
        <w:gridCol w:w="2369"/>
      </w:tblGrid>
      <w:tr w:rsidR="00E64098" w:rsidRPr="00E64098" w14:paraId="171830CB" w14:textId="77777777" w:rsidTr="00E64098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485" w:type="dxa"/>
            <w:gridSpan w:val="5"/>
            <w:shd w:val="clear" w:color="auto" w:fill="006793"/>
          </w:tcPr>
          <w:p w14:paraId="3947EB3C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6409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Übersicht: Schadensklassen ermitteln</w:t>
            </w:r>
          </w:p>
        </w:tc>
      </w:tr>
      <w:tr w:rsidR="00E64098" w:rsidRPr="00E64098" w14:paraId="5FF1421D" w14:textId="77777777" w:rsidTr="00E64098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1581" w:type="dxa"/>
            <w:shd w:val="clear" w:color="auto" w:fill="FCCBA2"/>
          </w:tcPr>
          <w:p w14:paraId="1614A6FA" w14:textId="66962546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b/>
                <w:bCs/>
                <w:color w:val="000000"/>
                <w:sz w:val="24"/>
              </w:rPr>
              <w:t>Schadens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-</w:t>
            </w:r>
            <w:r w:rsidRPr="00E64098">
              <w:rPr>
                <w:rFonts w:ascii="Arial" w:hAnsi="Arial" w:cs="Arial"/>
                <w:b/>
                <w:bCs/>
                <w:color w:val="000000"/>
                <w:sz w:val="24"/>
              </w:rPr>
              <w:t>klasse</w:t>
            </w:r>
          </w:p>
        </w:tc>
        <w:tc>
          <w:tcPr>
            <w:tcW w:w="1701" w:type="dxa"/>
            <w:shd w:val="clear" w:color="auto" w:fill="FCCBA2"/>
          </w:tcPr>
          <w:p w14:paraId="31568662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b/>
                <w:bCs/>
                <w:color w:val="000000"/>
                <w:sz w:val="24"/>
              </w:rPr>
              <w:t>Finanzieller Schaden</w:t>
            </w:r>
          </w:p>
        </w:tc>
        <w:tc>
          <w:tcPr>
            <w:tcW w:w="2551" w:type="dxa"/>
            <w:shd w:val="clear" w:color="auto" w:fill="FCCBA2"/>
          </w:tcPr>
          <w:p w14:paraId="5F6E34F7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b/>
                <w:bCs/>
                <w:color w:val="000000"/>
                <w:sz w:val="24"/>
              </w:rPr>
              <w:t>Ausfall Kernprozesse</w:t>
            </w:r>
          </w:p>
        </w:tc>
        <w:tc>
          <w:tcPr>
            <w:tcW w:w="2283" w:type="dxa"/>
            <w:shd w:val="clear" w:color="auto" w:fill="FCCBA2"/>
          </w:tcPr>
          <w:p w14:paraId="21F2DFFE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b/>
                <w:bCs/>
                <w:color w:val="000000"/>
                <w:sz w:val="24"/>
              </w:rPr>
              <w:t>Reputationsschaden</w:t>
            </w:r>
          </w:p>
        </w:tc>
        <w:tc>
          <w:tcPr>
            <w:tcW w:w="2369" w:type="dxa"/>
            <w:shd w:val="clear" w:color="auto" w:fill="FCCBA2"/>
          </w:tcPr>
          <w:p w14:paraId="7D87DB33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b/>
                <w:bCs/>
                <w:color w:val="000000"/>
                <w:sz w:val="24"/>
              </w:rPr>
              <w:t>Auswirkungen auf den Geschäfts</w:t>
            </w:r>
            <w:r w:rsidRPr="00E64098">
              <w:rPr>
                <w:rFonts w:ascii="Arial" w:hAnsi="Arial" w:cs="Arial"/>
                <w:b/>
                <w:bCs/>
                <w:color w:val="000000"/>
                <w:sz w:val="24"/>
              </w:rPr>
              <w:softHyphen/>
              <w:t>führer</w:t>
            </w:r>
          </w:p>
        </w:tc>
      </w:tr>
      <w:tr w:rsidR="00E64098" w:rsidRPr="00E64098" w14:paraId="00866613" w14:textId="77777777" w:rsidTr="00E64098">
        <w:tblPrEx>
          <w:tblCellMar>
            <w:top w:w="0" w:type="dxa"/>
            <w:bottom w:w="0" w:type="dxa"/>
          </w:tblCellMar>
        </w:tblPrEx>
        <w:trPr>
          <w:trHeight w:val="647"/>
          <w:jc w:val="center"/>
        </w:trPr>
        <w:tc>
          <w:tcPr>
            <w:tcW w:w="1581" w:type="dxa"/>
          </w:tcPr>
          <w:p w14:paraId="458245DA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b/>
                <w:bCs/>
                <w:color w:val="000000"/>
                <w:sz w:val="24"/>
              </w:rPr>
              <w:t>gering</w:t>
            </w:r>
          </w:p>
        </w:tc>
        <w:tc>
          <w:tcPr>
            <w:tcW w:w="1701" w:type="dxa"/>
          </w:tcPr>
          <w:p w14:paraId="31BE8494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&lt; 5.000 €</w:t>
            </w:r>
          </w:p>
        </w:tc>
        <w:tc>
          <w:tcPr>
            <w:tcW w:w="2551" w:type="dxa"/>
          </w:tcPr>
          <w:p w14:paraId="74F0E712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Minimale Verzögerungen in den nachfolgenden Prozessen (bis zu 2 Stunden)</w:t>
            </w:r>
          </w:p>
        </w:tc>
        <w:tc>
          <w:tcPr>
            <w:tcW w:w="2283" w:type="dxa"/>
          </w:tcPr>
          <w:p w14:paraId="58DD9E6A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Vorfall ist nur internen Mitarbeitern bekannt. Keine medialen Auswir</w:t>
            </w:r>
            <w:r w:rsidRPr="00E64098">
              <w:rPr>
                <w:rFonts w:ascii="Arial" w:hAnsi="Arial" w:cs="Arial"/>
                <w:color w:val="000000"/>
                <w:sz w:val="24"/>
              </w:rPr>
              <w:softHyphen/>
              <w:t>kungen</w:t>
            </w:r>
          </w:p>
        </w:tc>
        <w:tc>
          <w:tcPr>
            <w:tcW w:w="2369" w:type="dxa"/>
          </w:tcPr>
          <w:p w14:paraId="49133288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Nachteile (wirt</w:t>
            </w:r>
            <w:r w:rsidRPr="00E64098">
              <w:rPr>
                <w:rFonts w:ascii="Arial" w:hAnsi="Arial" w:cs="Arial"/>
                <w:color w:val="000000"/>
                <w:sz w:val="24"/>
              </w:rPr>
              <w:softHyphen/>
              <w:t>schaftlich, ge</w:t>
            </w:r>
            <w:r w:rsidRPr="00E64098">
              <w:rPr>
                <w:rFonts w:ascii="Arial" w:hAnsi="Arial" w:cs="Arial"/>
                <w:color w:val="000000"/>
                <w:sz w:val="24"/>
              </w:rPr>
              <w:softHyphen/>
              <w:t>sellschaftlich) im geringen Umfang für die Person</w:t>
            </w:r>
          </w:p>
        </w:tc>
      </w:tr>
      <w:tr w:rsidR="00E64098" w:rsidRPr="00E64098" w14:paraId="7B714C1E" w14:textId="77777777" w:rsidTr="00E64098">
        <w:tblPrEx>
          <w:tblCellMar>
            <w:top w:w="0" w:type="dxa"/>
            <w:bottom w:w="0" w:type="dxa"/>
          </w:tblCellMar>
        </w:tblPrEx>
        <w:trPr>
          <w:trHeight w:val="387"/>
          <w:jc w:val="center"/>
        </w:trPr>
        <w:tc>
          <w:tcPr>
            <w:tcW w:w="1581" w:type="dxa"/>
          </w:tcPr>
          <w:p w14:paraId="3F069223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b/>
                <w:bCs/>
                <w:color w:val="000000"/>
                <w:sz w:val="24"/>
              </w:rPr>
              <w:t>mittel</w:t>
            </w:r>
          </w:p>
        </w:tc>
        <w:tc>
          <w:tcPr>
            <w:tcW w:w="1701" w:type="dxa"/>
          </w:tcPr>
          <w:p w14:paraId="7A211B22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Zwischen 5.000 und 20.000 €</w:t>
            </w:r>
          </w:p>
        </w:tc>
        <w:tc>
          <w:tcPr>
            <w:tcW w:w="2551" w:type="dxa"/>
          </w:tcPr>
          <w:p w14:paraId="631AEB86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Führt zu einer Verzögerung von ca. einem Tag bei den nachfol</w:t>
            </w:r>
            <w:r w:rsidRPr="00E64098">
              <w:rPr>
                <w:rFonts w:ascii="Arial" w:hAnsi="Arial" w:cs="Arial"/>
                <w:color w:val="000000"/>
                <w:sz w:val="24"/>
              </w:rPr>
              <w:softHyphen/>
              <w:t>genden internen Prozessen</w:t>
            </w:r>
          </w:p>
        </w:tc>
        <w:tc>
          <w:tcPr>
            <w:tcW w:w="2283" w:type="dxa"/>
          </w:tcPr>
          <w:p w14:paraId="1ACA5D68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Vereinzelte Auswirkung z. B. bei Lieferanten</w:t>
            </w:r>
          </w:p>
        </w:tc>
        <w:tc>
          <w:tcPr>
            <w:tcW w:w="2369" w:type="dxa"/>
          </w:tcPr>
          <w:p w14:paraId="606E1D92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Finanzieller Scha</w:t>
            </w:r>
            <w:r w:rsidRPr="00E64098">
              <w:rPr>
                <w:rFonts w:ascii="Arial" w:hAnsi="Arial" w:cs="Arial"/>
                <w:color w:val="000000"/>
                <w:sz w:val="24"/>
              </w:rPr>
              <w:softHyphen/>
              <w:t>den (nicht existenz</w:t>
            </w:r>
            <w:r w:rsidRPr="00E64098">
              <w:rPr>
                <w:rFonts w:ascii="Arial" w:hAnsi="Arial" w:cs="Arial"/>
                <w:color w:val="000000"/>
                <w:sz w:val="24"/>
              </w:rPr>
              <w:softHyphen/>
              <w:t>gefährdend)</w:t>
            </w:r>
          </w:p>
        </w:tc>
      </w:tr>
      <w:tr w:rsidR="00E64098" w:rsidRPr="00E64098" w14:paraId="33D90A36" w14:textId="77777777" w:rsidTr="00E64098">
        <w:tblPrEx>
          <w:tblCellMar>
            <w:top w:w="0" w:type="dxa"/>
            <w:bottom w:w="0" w:type="dxa"/>
          </w:tblCellMar>
        </w:tblPrEx>
        <w:trPr>
          <w:trHeight w:val="647"/>
          <w:jc w:val="center"/>
        </w:trPr>
        <w:tc>
          <w:tcPr>
            <w:tcW w:w="1581" w:type="dxa"/>
          </w:tcPr>
          <w:p w14:paraId="4482122F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b/>
                <w:bCs/>
                <w:color w:val="000000"/>
                <w:sz w:val="24"/>
              </w:rPr>
              <w:t>hoch</w:t>
            </w:r>
          </w:p>
        </w:tc>
        <w:tc>
          <w:tcPr>
            <w:tcW w:w="1701" w:type="dxa"/>
          </w:tcPr>
          <w:p w14:paraId="4D007582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Zwischen 20.000 und 50.000 €</w:t>
            </w:r>
          </w:p>
        </w:tc>
        <w:tc>
          <w:tcPr>
            <w:tcW w:w="2551" w:type="dxa"/>
          </w:tcPr>
          <w:p w14:paraId="25A8CD4D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Führt zu einer Verzögerung von mehr als einem Tag bei den nachfolgenden internen Prozessen</w:t>
            </w:r>
          </w:p>
        </w:tc>
        <w:tc>
          <w:tcPr>
            <w:tcW w:w="2283" w:type="dxa"/>
          </w:tcPr>
          <w:p w14:paraId="57D8CAFA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Vorfall hat Auswirkungen auf die Reputation bei Mitarbeitern oder Kunden (z. B. verspätete Gehalts</w:t>
            </w:r>
            <w:r w:rsidRPr="00E64098">
              <w:rPr>
                <w:rFonts w:ascii="Arial" w:hAnsi="Arial" w:cs="Arial"/>
                <w:color w:val="000000"/>
                <w:sz w:val="24"/>
              </w:rPr>
              <w:softHyphen/>
              <w:t>zahlungen)</w:t>
            </w:r>
          </w:p>
        </w:tc>
        <w:tc>
          <w:tcPr>
            <w:tcW w:w="2369" w:type="dxa"/>
          </w:tcPr>
          <w:p w14:paraId="32EFC804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Hoher Schaden auch beim Ansehen</w:t>
            </w:r>
          </w:p>
        </w:tc>
      </w:tr>
      <w:tr w:rsidR="00E64098" w:rsidRPr="00E64098" w14:paraId="75AF7F80" w14:textId="77777777" w:rsidTr="00E64098">
        <w:tblPrEx>
          <w:tblCellMar>
            <w:top w:w="0" w:type="dxa"/>
            <w:bottom w:w="0" w:type="dxa"/>
          </w:tblCellMar>
        </w:tblPrEx>
        <w:trPr>
          <w:trHeight w:val="647"/>
          <w:jc w:val="center"/>
        </w:trPr>
        <w:tc>
          <w:tcPr>
            <w:tcW w:w="1581" w:type="dxa"/>
          </w:tcPr>
          <w:p w14:paraId="28697B68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b/>
                <w:bCs/>
                <w:color w:val="000000"/>
                <w:sz w:val="24"/>
              </w:rPr>
              <w:t>sehr hoch</w:t>
            </w:r>
          </w:p>
        </w:tc>
        <w:tc>
          <w:tcPr>
            <w:tcW w:w="1701" w:type="dxa"/>
          </w:tcPr>
          <w:p w14:paraId="71B00AB0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&gt; 50.000 €</w:t>
            </w:r>
          </w:p>
        </w:tc>
        <w:tc>
          <w:tcPr>
            <w:tcW w:w="2551" w:type="dxa"/>
          </w:tcPr>
          <w:p w14:paraId="0996EDD6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Führt zu einer massiven Verzö</w:t>
            </w:r>
            <w:r w:rsidRPr="00E64098">
              <w:rPr>
                <w:rFonts w:ascii="Arial" w:hAnsi="Arial" w:cs="Arial"/>
                <w:color w:val="000000"/>
                <w:sz w:val="24"/>
              </w:rPr>
              <w:softHyphen/>
              <w:t>gerung bei der Versorgung der Kunden (Feuer, Teilbetriebs</w:t>
            </w:r>
            <w:r w:rsidRPr="00E64098">
              <w:rPr>
                <w:rFonts w:ascii="Arial" w:hAnsi="Arial" w:cs="Arial"/>
                <w:color w:val="000000"/>
                <w:sz w:val="24"/>
              </w:rPr>
              <w:softHyphen/>
              <w:t>schließung durch behördliche Auflagen)</w:t>
            </w:r>
          </w:p>
        </w:tc>
        <w:tc>
          <w:tcPr>
            <w:tcW w:w="2283" w:type="dxa"/>
          </w:tcPr>
          <w:p w14:paraId="7E2EF3CB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>Verlust von Kunden</w:t>
            </w:r>
          </w:p>
        </w:tc>
        <w:tc>
          <w:tcPr>
            <w:tcW w:w="2369" w:type="dxa"/>
          </w:tcPr>
          <w:p w14:paraId="6A4BB6C4" w14:textId="77777777" w:rsidR="00E64098" w:rsidRPr="00E64098" w:rsidRDefault="00E64098" w:rsidP="00E64098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64098">
              <w:rPr>
                <w:rFonts w:ascii="Arial" w:hAnsi="Arial" w:cs="Arial"/>
                <w:color w:val="000000"/>
                <w:sz w:val="24"/>
              </w:rPr>
              <w:t xml:space="preserve">Lebensgefahr, existenzgefährdend </w:t>
            </w:r>
          </w:p>
        </w:tc>
      </w:tr>
    </w:tbl>
    <w:p w14:paraId="040930BC" w14:textId="77777777" w:rsidR="00E64098" w:rsidRPr="00EA24B0" w:rsidRDefault="00E64098" w:rsidP="00EA24B0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E64098" w:rsidRPr="00EA24B0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4E927D22" w14:textId="36EEA029" w:rsidR="007A7CA7" w:rsidRDefault="009908DD" w:rsidP="00332CA1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8100A">
            <w:rPr>
              <w:b/>
              <w:color w:val="FFFFFF"/>
              <w:sz w:val="24"/>
            </w:rPr>
            <w:t>16</w:t>
          </w:r>
          <w:r>
            <w:rPr>
              <w:b/>
              <w:color w:val="FFFFFF"/>
              <w:sz w:val="24"/>
            </w:rPr>
            <w:t xml:space="preserve"> </w:t>
          </w:r>
          <w:r w:rsidR="007103A3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  <w:p w14:paraId="6ABA9FFE" w14:textId="6F0E31AD" w:rsidR="007103A3" w:rsidRPr="007A7CA7" w:rsidRDefault="007103A3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69E7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70CC3"/>
    <w:multiLevelType w:val="hybridMultilevel"/>
    <w:tmpl w:val="9E909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31E50"/>
    <w:multiLevelType w:val="hybridMultilevel"/>
    <w:tmpl w:val="57E2F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13B71"/>
    <w:multiLevelType w:val="hybridMultilevel"/>
    <w:tmpl w:val="342E5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73C18"/>
    <w:multiLevelType w:val="hybridMultilevel"/>
    <w:tmpl w:val="3300E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E62C1"/>
    <w:multiLevelType w:val="hybridMultilevel"/>
    <w:tmpl w:val="C46CF2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0"/>
  </w:num>
  <w:num w:numId="2" w16cid:durableId="1804158717">
    <w:abstractNumId w:val="21"/>
  </w:num>
  <w:num w:numId="3" w16cid:durableId="1548251974">
    <w:abstractNumId w:val="27"/>
  </w:num>
  <w:num w:numId="4" w16cid:durableId="869875702">
    <w:abstractNumId w:val="11"/>
  </w:num>
  <w:num w:numId="5" w16cid:durableId="1526597782">
    <w:abstractNumId w:val="7"/>
  </w:num>
  <w:num w:numId="6" w16cid:durableId="867765150">
    <w:abstractNumId w:val="8"/>
  </w:num>
  <w:num w:numId="7" w16cid:durableId="1798405097">
    <w:abstractNumId w:val="14"/>
  </w:num>
  <w:num w:numId="8" w16cid:durableId="388921494">
    <w:abstractNumId w:val="13"/>
  </w:num>
  <w:num w:numId="9" w16cid:durableId="1308784843">
    <w:abstractNumId w:val="9"/>
  </w:num>
  <w:num w:numId="10" w16cid:durableId="998121745">
    <w:abstractNumId w:val="6"/>
  </w:num>
  <w:num w:numId="11" w16cid:durableId="1808205416">
    <w:abstractNumId w:val="23"/>
  </w:num>
  <w:num w:numId="12" w16cid:durableId="210113988">
    <w:abstractNumId w:val="16"/>
  </w:num>
  <w:num w:numId="13" w16cid:durableId="1970042432">
    <w:abstractNumId w:val="17"/>
  </w:num>
  <w:num w:numId="14" w16cid:durableId="1035348882">
    <w:abstractNumId w:val="15"/>
  </w:num>
  <w:num w:numId="15" w16cid:durableId="300035607">
    <w:abstractNumId w:val="18"/>
  </w:num>
  <w:num w:numId="16" w16cid:durableId="978144461">
    <w:abstractNumId w:val="19"/>
  </w:num>
  <w:num w:numId="17" w16cid:durableId="638414688">
    <w:abstractNumId w:val="20"/>
  </w:num>
  <w:num w:numId="18" w16cid:durableId="1809593188">
    <w:abstractNumId w:val="5"/>
  </w:num>
  <w:num w:numId="19" w16cid:durableId="310256859">
    <w:abstractNumId w:val="4"/>
  </w:num>
  <w:num w:numId="20" w16cid:durableId="484276499">
    <w:abstractNumId w:val="3"/>
  </w:num>
  <w:num w:numId="21" w16cid:durableId="542445318">
    <w:abstractNumId w:val="2"/>
  </w:num>
  <w:num w:numId="22" w16cid:durableId="688532022">
    <w:abstractNumId w:val="1"/>
  </w:num>
  <w:num w:numId="23" w16cid:durableId="1777142246">
    <w:abstractNumId w:val="25"/>
  </w:num>
  <w:num w:numId="24" w16cid:durableId="324284889">
    <w:abstractNumId w:val="0"/>
  </w:num>
  <w:num w:numId="25" w16cid:durableId="1341156635">
    <w:abstractNumId w:val="26"/>
  </w:num>
  <w:num w:numId="26" w16cid:durableId="884558111">
    <w:abstractNumId w:val="24"/>
  </w:num>
  <w:num w:numId="27" w16cid:durableId="50468009">
    <w:abstractNumId w:val="22"/>
  </w:num>
  <w:num w:numId="28" w16cid:durableId="682703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51CB7"/>
    <w:rsid w:val="000779E6"/>
    <w:rsid w:val="00092CAA"/>
    <w:rsid w:val="000B50CC"/>
    <w:rsid w:val="000C6A2D"/>
    <w:rsid w:val="00111E67"/>
    <w:rsid w:val="0015409B"/>
    <w:rsid w:val="0018100A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373DD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73A17"/>
    <w:rsid w:val="006826A0"/>
    <w:rsid w:val="006A5CFE"/>
    <w:rsid w:val="006B797D"/>
    <w:rsid w:val="006E18EF"/>
    <w:rsid w:val="007103A3"/>
    <w:rsid w:val="00725FA4"/>
    <w:rsid w:val="00743E5F"/>
    <w:rsid w:val="007769F3"/>
    <w:rsid w:val="007A7CA7"/>
    <w:rsid w:val="007B0290"/>
    <w:rsid w:val="007C0AE5"/>
    <w:rsid w:val="007D58D2"/>
    <w:rsid w:val="007E1A2E"/>
    <w:rsid w:val="007F3D2A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1C3E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3A2E"/>
    <w:rsid w:val="00BF7A72"/>
    <w:rsid w:val="00C310AF"/>
    <w:rsid w:val="00C73E1A"/>
    <w:rsid w:val="00CB3FD0"/>
    <w:rsid w:val="00CC38C8"/>
    <w:rsid w:val="00CF7045"/>
    <w:rsid w:val="00D27536"/>
    <w:rsid w:val="00D758F4"/>
    <w:rsid w:val="00DB32C7"/>
    <w:rsid w:val="00DF4466"/>
    <w:rsid w:val="00E2265E"/>
    <w:rsid w:val="00E26939"/>
    <w:rsid w:val="00E353A3"/>
    <w:rsid w:val="00E64098"/>
    <w:rsid w:val="00EA24B0"/>
    <w:rsid w:val="00EC24AC"/>
    <w:rsid w:val="00EC3153"/>
    <w:rsid w:val="00F066CA"/>
    <w:rsid w:val="00F20663"/>
    <w:rsid w:val="00F27330"/>
    <w:rsid w:val="00F43559"/>
    <w:rsid w:val="00F45E6C"/>
    <w:rsid w:val="00FA19D7"/>
    <w:rsid w:val="00FC278E"/>
    <w:rsid w:val="00F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9">
    <w:name w:val="Pa9"/>
    <w:basedOn w:val="Standard"/>
    <w:next w:val="Standard"/>
    <w:uiPriority w:val="99"/>
    <w:rsid w:val="00FD2482"/>
    <w:pPr>
      <w:autoSpaceDE w:val="0"/>
      <w:autoSpaceDN w:val="0"/>
      <w:adjustRightInd w:val="0"/>
      <w:spacing w:after="0" w:line="201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Default">
    <w:name w:val="Default"/>
    <w:rsid w:val="00FD2482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A8">
    <w:name w:val="A8"/>
    <w:uiPriority w:val="99"/>
    <w:rsid w:val="00FD2482"/>
    <w:rPr>
      <w:rFonts w:cs="Open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2025-07-27T23:19:00Z</dcterms:created>
  <dcterms:modified xsi:type="dcterms:W3CDTF">2025-07-27T23:19:00Z</dcterms:modified>
</cp:coreProperties>
</file>