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5605" w14:textId="77777777" w:rsidR="002A5D13" w:rsidRDefault="007A7CA7" w:rsidP="007A7CA7">
      <w:pPr>
        <w:tabs>
          <w:tab w:val="left" w:pos="5280"/>
        </w:tabs>
        <w:rPr>
          <w:b/>
          <w:noProof/>
          <w:lang w:eastAsia="de-DE"/>
        </w:rPr>
      </w:pPr>
      <w:r>
        <w:rPr>
          <w:b/>
          <w:noProof/>
          <w:lang w:eastAsia="de-DE"/>
        </w:rPr>
        <w:tab/>
      </w:r>
    </w:p>
    <w:p w14:paraId="248B0E24" w14:textId="0239E7AB" w:rsidR="007051D9" w:rsidRPr="007051D9" w:rsidRDefault="007A7CA7" w:rsidP="007051D9">
      <w:pPr>
        <w:tabs>
          <w:tab w:val="left" w:pos="1365"/>
          <w:tab w:val="left" w:pos="2430"/>
          <w:tab w:val="left" w:pos="4185"/>
          <w:tab w:val="left" w:pos="6900"/>
        </w:tabs>
      </w:pPr>
      <w:r>
        <w:tab/>
      </w:r>
      <w:r w:rsidR="005E1850">
        <w:tab/>
      </w:r>
      <w:r>
        <w:tab/>
      </w:r>
      <w:r w:rsidR="00B707AF">
        <w:tab/>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7051D9" w:rsidRPr="007051D9" w14:paraId="020250B2" w14:textId="77777777" w:rsidTr="007051D9">
        <w:trPr>
          <w:jc w:val="center"/>
        </w:trPr>
        <w:tc>
          <w:tcPr>
            <w:tcW w:w="10060" w:type="dxa"/>
            <w:shd w:val="clear" w:color="auto" w:fill="2E75CC"/>
          </w:tcPr>
          <w:p w14:paraId="53370D33" w14:textId="00B5BBFA" w:rsidR="007051D9" w:rsidRPr="007051D9" w:rsidRDefault="007051D9" w:rsidP="007051D9">
            <w:pPr>
              <w:spacing w:before="120" w:after="120"/>
              <w:rPr>
                <w:rFonts w:ascii="Arial" w:hAnsi="Arial" w:cs="Arial"/>
                <w:b/>
                <w:color w:val="FFFFFF"/>
                <w:sz w:val="28"/>
                <w:szCs w:val="28"/>
              </w:rPr>
            </w:pPr>
            <w:r w:rsidRPr="007051D9">
              <w:rPr>
                <w:rFonts w:ascii="Arial" w:hAnsi="Arial" w:cs="Arial"/>
                <w:b/>
                <w:color w:val="FFFFFF"/>
                <w:sz w:val="28"/>
                <w:szCs w:val="28"/>
              </w:rPr>
              <w:t>Muster: Standard zur Organisation von Unterweisungen</w:t>
            </w:r>
          </w:p>
        </w:tc>
      </w:tr>
      <w:tr w:rsidR="007051D9" w:rsidRPr="007051D9" w14:paraId="2920EB0A" w14:textId="77777777" w:rsidTr="007051D9">
        <w:trPr>
          <w:jc w:val="center"/>
        </w:trPr>
        <w:tc>
          <w:tcPr>
            <w:tcW w:w="10060" w:type="dxa"/>
            <w:shd w:val="clear" w:color="auto" w:fill="auto"/>
          </w:tcPr>
          <w:p w14:paraId="3752F2A8" w14:textId="77777777" w:rsidR="007051D9" w:rsidRPr="007051D9" w:rsidRDefault="007051D9" w:rsidP="007051D9">
            <w:pPr>
              <w:spacing w:before="120" w:after="120"/>
              <w:rPr>
                <w:rFonts w:ascii="Arial" w:hAnsi="Arial" w:cs="Arial"/>
                <w:b/>
                <w:color w:val="000000" w:themeColor="text1"/>
                <w:sz w:val="24"/>
                <w:szCs w:val="24"/>
              </w:rPr>
            </w:pPr>
            <w:r w:rsidRPr="007051D9">
              <w:rPr>
                <w:rFonts w:ascii="Arial" w:hAnsi="Arial" w:cs="Arial"/>
                <w:b/>
                <w:color w:val="000000" w:themeColor="text1"/>
                <w:sz w:val="24"/>
                <w:szCs w:val="24"/>
              </w:rPr>
              <w:t xml:space="preserve">Ziele: </w:t>
            </w:r>
          </w:p>
          <w:p w14:paraId="0433D54D" w14:textId="77777777" w:rsidR="007051D9" w:rsidRPr="007051D9" w:rsidRDefault="007051D9" w:rsidP="007051D9">
            <w:pPr>
              <w:spacing w:before="120" w:after="120"/>
              <w:rPr>
                <w:rFonts w:ascii="Arial" w:hAnsi="Arial" w:cs="Arial"/>
                <w:bCs/>
                <w:color w:val="000000" w:themeColor="text1"/>
                <w:sz w:val="24"/>
                <w:szCs w:val="24"/>
              </w:rPr>
            </w:pPr>
            <w:r w:rsidRPr="007051D9">
              <w:rPr>
                <w:rFonts w:ascii="Arial" w:hAnsi="Arial" w:cs="Arial"/>
                <w:bCs/>
                <w:color w:val="000000" w:themeColor="text1"/>
                <w:sz w:val="24"/>
                <w:szCs w:val="24"/>
              </w:rPr>
              <w:t>Alle Mitarbeiter sind gemäß ArbSchG und mit geltenden Verordnungen zu Themen des Arbeits- und Gesundheitsschutzes unterwiesen.</w:t>
            </w:r>
          </w:p>
          <w:p w14:paraId="538A9C46" w14:textId="77777777" w:rsidR="007051D9" w:rsidRPr="007051D9" w:rsidRDefault="007051D9" w:rsidP="007051D9">
            <w:pPr>
              <w:spacing w:before="120" w:after="120"/>
              <w:rPr>
                <w:rFonts w:ascii="Arial" w:hAnsi="Arial" w:cs="Arial"/>
                <w:bCs/>
                <w:color w:val="000000" w:themeColor="text1"/>
                <w:sz w:val="24"/>
                <w:szCs w:val="24"/>
              </w:rPr>
            </w:pPr>
            <w:r w:rsidRPr="007051D9">
              <w:rPr>
                <w:rFonts w:ascii="Arial" w:hAnsi="Arial" w:cs="Arial"/>
                <w:bCs/>
                <w:color w:val="000000" w:themeColor="text1"/>
                <w:sz w:val="24"/>
                <w:szCs w:val="24"/>
              </w:rPr>
              <w:t>Arbeitsbedingte Gefährdungen und Unfälle sind vermieden.</w:t>
            </w:r>
          </w:p>
          <w:p w14:paraId="3D78DD57" w14:textId="5D39E55D" w:rsidR="007051D9" w:rsidRPr="007051D9" w:rsidRDefault="007051D9" w:rsidP="007051D9">
            <w:pPr>
              <w:spacing w:before="120" w:after="120"/>
              <w:rPr>
                <w:rFonts w:ascii="Arial" w:hAnsi="Arial" w:cs="Arial"/>
                <w:bCs/>
                <w:color w:val="000000" w:themeColor="text1"/>
                <w:sz w:val="24"/>
                <w:szCs w:val="24"/>
              </w:rPr>
            </w:pPr>
            <w:r w:rsidRPr="007051D9">
              <w:rPr>
                <w:rFonts w:ascii="Arial" w:hAnsi="Arial" w:cs="Arial"/>
                <w:bCs/>
                <w:color w:val="000000" w:themeColor="text1"/>
                <w:sz w:val="24"/>
                <w:szCs w:val="24"/>
              </w:rPr>
              <w:t>Unterweisungen sind lückenlos dokumentiert.</w:t>
            </w:r>
          </w:p>
          <w:p w14:paraId="60D015F7" w14:textId="77777777" w:rsidR="007051D9" w:rsidRPr="007051D9" w:rsidRDefault="007051D9" w:rsidP="007051D9">
            <w:pPr>
              <w:spacing w:before="120" w:after="120"/>
              <w:rPr>
                <w:rFonts w:ascii="Arial" w:hAnsi="Arial" w:cs="Arial"/>
                <w:b/>
                <w:color w:val="000000" w:themeColor="text1"/>
                <w:sz w:val="24"/>
                <w:szCs w:val="24"/>
              </w:rPr>
            </w:pPr>
            <w:r w:rsidRPr="007051D9">
              <w:rPr>
                <w:rFonts w:ascii="Arial" w:hAnsi="Arial" w:cs="Arial"/>
                <w:b/>
                <w:color w:val="000000" w:themeColor="text1"/>
                <w:sz w:val="24"/>
                <w:szCs w:val="24"/>
              </w:rPr>
              <w:t>Verantwortung:</w:t>
            </w:r>
          </w:p>
          <w:p w14:paraId="32A1852F" w14:textId="34A1F38D" w:rsidR="007051D9" w:rsidRPr="007051D9" w:rsidRDefault="007051D9" w:rsidP="007051D9">
            <w:pPr>
              <w:spacing w:before="120" w:after="120"/>
              <w:rPr>
                <w:rFonts w:ascii="Arial" w:hAnsi="Arial" w:cs="Arial"/>
                <w:bCs/>
                <w:color w:val="000000" w:themeColor="text1"/>
                <w:sz w:val="24"/>
                <w:szCs w:val="24"/>
              </w:rPr>
            </w:pPr>
            <w:r w:rsidRPr="007051D9">
              <w:rPr>
                <w:rFonts w:ascii="Arial" w:hAnsi="Arial" w:cs="Arial"/>
                <w:bCs/>
                <w:color w:val="000000" w:themeColor="text1"/>
                <w:sz w:val="24"/>
                <w:szCs w:val="24"/>
              </w:rPr>
              <w:t>Verantwortlich ist die Gesamtleitung der Einrichtung. Sie hat per schriftlicher Delegation die Pflicht zur Unterweisung auf die direkten Vorgesetzten übertragen, überzeugt sich jedoch anhand der Einsichtnahme in Unterweisungsnachweise von der ordnungsgemäßen Durchführung. Die Leitungen können unterstützend für die Unterweisungen die folgenden Personen hinzuziehen:</w:t>
            </w:r>
          </w:p>
          <w:p w14:paraId="797F2CFE" w14:textId="77777777" w:rsidR="007051D9" w:rsidRPr="007051D9" w:rsidRDefault="007051D9" w:rsidP="007051D9">
            <w:pPr>
              <w:spacing w:before="120" w:after="120"/>
              <w:rPr>
                <w:rFonts w:ascii="Arial" w:hAnsi="Arial" w:cs="Arial"/>
                <w:bCs/>
                <w:color w:val="000000" w:themeColor="text1"/>
                <w:sz w:val="24"/>
                <w:szCs w:val="24"/>
              </w:rPr>
            </w:pPr>
            <w:r w:rsidRPr="007051D9">
              <w:rPr>
                <w:rFonts w:ascii="Arial" w:hAnsi="Arial" w:cs="Arial"/>
                <w:bCs/>
                <w:color w:val="000000" w:themeColor="text1"/>
                <w:sz w:val="24"/>
                <w:szCs w:val="24"/>
              </w:rPr>
              <w:t>- Sicherheitsbeauftragte.</w:t>
            </w:r>
          </w:p>
          <w:p w14:paraId="1EEE1312" w14:textId="77777777" w:rsidR="007051D9" w:rsidRPr="007051D9" w:rsidRDefault="007051D9" w:rsidP="007051D9">
            <w:pPr>
              <w:spacing w:before="120" w:after="120"/>
              <w:rPr>
                <w:rFonts w:ascii="Arial" w:hAnsi="Arial" w:cs="Arial"/>
                <w:bCs/>
                <w:color w:val="000000" w:themeColor="text1"/>
                <w:sz w:val="24"/>
                <w:szCs w:val="24"/>
              </w:rPr>
            </w:pPr>
            <w:r w:rsidRPr="007051D9">
              <w:rPr>
                <w:rFonts w:ascii="Arial" w:hAnsi="Arial" w:cs="Arial"/>
                <w:bCs/>
                <w:color w:val="000000" w:themeColor="text1"/>
                <w:sz w:val="24"/>
                <w:szCs w:val="24"/>
              </w:rPr>
              <w:t>- Sicherheitsfachkraft und/oder Betriebsarzt.</w:t>
            </w:r>
          </w:p>
          <w:p w14:paraId="2E5E6AB0" w14:textId="77777777" w:rsidR="007051D9" w:rsidRPr="007051D9" w:rsidRDefault="007051D9" w:rsidP="007051D9">
            <w:pPr>
              <w:spacing w:before="120" w:after="120"/>
              <w:rPr>
                <w:rFonts w:ascii="Arial" w:hAnsi="Arial" w:cs="Arial"/>
                <w:bCs/>
                <w:color w:val="000000" w:themeColor="text1"/>
                <w:sz w:val="24"/>
                <w:szCs w:val="24"/>
              </w:rPr>
            </w:pPr>
            <w:r w:rsidRPr="007051D9">
              <w:rPr>
                <w:rFonts w:ascii="Arial" w:hAnsi="Arial" w:cs="Arial"/>
                <w:bCs/>
                <w:color w:val="000000" w:themeColor="text1"/>
                <w:sz w:val="24"/>
                <w:szCs w:val="24"/>
              </w:rPr>
              <w:t>- Qualitätsbeauftragte.</w:t>
            </w:r>
          </w:p>
          <w:p w14:paraId="7BA2C5B7" w14:textId="6DB6AB20" w:rsidR="007051D9" w:rsidRPr="007051D9" w:rsidRDefault="007051D9" w:rsidP="007051D9">
            <w:pPr>
              <w:spacing w:before="120" w:after="120"/>
              <w:rPr>
                <w:rFonts w:ascii="Arial" w:hAnsi="Arial" w:cs="Arial"/>
                <w:bCs/>
                <w:color w:val="000000" w:themeColor="text1"/>
                <w:sz w:val="24"/>
                <w:szCs w:val="24"/>
              </w:rPr>
            </w:pPr>
            <w:r w:rsidRPr="007051D9">
              <w:rPr>
                <w:rFonts w:ascii="Arial" w:hAnsi="Arial" w:cs="Arial"/>
                <w:bCs/>
                <w:color w:val="000000" w:themeColor="text1"/>
                <w:sz w:val="24"/>
                <w:szCs w:val="24"/>
              </w:rPr>
              <w:t>- Fachexperten wie Brandschutzhelfer, Haustechniker, Hygienebeauftragte.</w:t>
            </w:r>
          </w:p>
          <w:p w14:paraId="2E87ED0D" w14:textId="77777777" w:rsidR="007051D9" w:rsidRPr="007051D9" w:rsidRDefault="007051D9" w:rsidP="007051D9">
            <w:pPr>
              <w:spacing w:before="120" w:after="120"/>
              <w:rPr>
                <w:rFonts w:ascii="Arial" w:hAnsi="Arial" w:cs="Arial"/>
                <w:bCs/>
                <w:color w:val="000000" w:themeColor="text1"/>
                <w:sz w:val="24"/>
                <w:szCs w:val="24"/>
              </w:rPr>
            </w:pPr>
            <w:r w:rsidRPr="007051D9">
              <w:rPr>
                <w:rFonts w:ascii="Arial" w:hAnsi="Arial" w:cs="Arial"/>
                <w:bCs/>
                <w:color w:val="000000" w:themeColor="text1"/>
                <w:sz w:val="24"/>
                <w:szCs w:val="24"/>
              </w:rPr>
              <w:t>Themenauswahl:</w:t>
            </w:r>
          </w:p>
          <w:p w14:paraId="5468FA6B" w14:textId="1BADBAB6" w:rsidR="007051D9" w:rsidRPr="007051D9" w:rsidRDefault="007051D9" w:rsidP="007051D9">
            <w:pPr>
              <w:spacing w:before="120" w:after="120"/>
              <w:rPr>
                <w:rFonts w:ascii="Arial" w:hAnsi="Arial" w:cs="Arial"/>
                <w:bCs/>
                <w:color w:val="000000" w:themeColor="text1"/>
                <w:sz w:val="24"/>
                <w:szCs w:val="24"/>
              </w:rPr>
            </w:pPr>
            <w:r w:rsidRPr="007051D9">
              <w:rPr>
                <w:rFonts w:ascii="Arial" w:hAnsi="Arial" w:cs="Arial"/>
                <w:bCs/>
                <w:color w:val="000000" w:themeColor="text1"/>
                <w:sz w:val="24"/>
                <w:szCs w:val="24"/>
              </w:rPr>
              <w:t>Die Auswahl der Themen für die Unterweisungen richtet sich nach den Ergebnissen der Gefährdungsbeurteilungen. Sie werden jährlich vorausplanend in einem Unterweisungsplan erfasst. Zusätzlich wird anlassbezogen zu speziellen Themen unterwiesen, z. B. wenn ein Unfall passiert ist oder die Mitarbeiter einen Vorschlag einbringen.</w:t>
            </w:r>
          </w:p>
          <w:p w14:paraId="5A5BC4E5" w14:textId="77777777" w:rsidR="007051D9" w:rsidRPr="007051D9" w:rsidRDefault="007051D9" w:rsidP="007051D9">
            <w:pPr>
              <w:spacing w:before="120" w:after="120"/>
              <w:rPr>
                <w:rFonts w:ascii="Arial" w:hAnsi="Arial" w:cs="Arial"/>
                <w:bCs/>
                <w:color w:val="000000" w:themeColor="text1"/>
                <w:sz w:val="24"/>
                <w:szCs w:val="24"/>
              </w:rPr>
            </w:pPr>
            <w:r w:rsidRPr="007051D9">
              <w:rPr>
                <w:rFonts w:ascii="Arial" w:hAnsi="Arial" w:cs="Arial"/>
                <w:bCs/>
                <w:color w:val="000000" w:themeColor="text1"/>
                <w:sz w:val="24"/>
                <w:szCs w:val="24"/>
              </w:rPr>
              <w:t>Vorbereitung der Unterweisung:</w:t>
            </w:r>
          </w:p>
          <w:p w14:paraId="69732627" w14:textId="2ABF0920" w:rsidR="007051D9" w:rsidRPr="007051D9" w:rsidRDefault="007051D9" w:rsidP="007051D9">
            <w:pPr>
              <w:spacing w:before="120" w:after="120"/>
              <w:rPr>
                <w:rFonts w:ascii="Arial" w:hAnsi="Arial" w:cs="Arial"/>
                <w:bCs/>
                <w:color w:val="000000" w:themeColor="text1"/>
                <w:sz w:val="24"/>
                <w:szCs w:val="24"/>
              </w:rPr>
            </w:pPr>
            <w:r w:rsidRPr="007051D9">
              <w:rPr>
                <w:rFonts w:ascii="Arial" w:hAnsi="Arial" w:cs="Arial"/>
                <w:bCs/>
                <w:color w:val="000000" w:themeColor="text1"/>
                <w:sz w:val="24"/>
                <w:szCs w:val="24"/>
              </w:rPr>
              <w:t>Die Vorbereitung der Unterweisung obliegt der unterweisenden Führungskraft. Als Hilfestellung kann sie die Checkliste zur Organisation einer Unterweisung heranziehen.</w:t>
            </w:r>
          </w:p>
          <w:p w14:paraId="018B9EF5" w14:textId="77777777" w:rsidR="007051D9" w:rsidRPr="007051D9" w:rsidRDefault="007051D9" w:rsidP="007051D9">
            <w:pPr>
              <w:spacing w:before="120" w:after="120"/>
              <w:rPr>
                <w:rFonts w:ascii="Arial" w:hAnsi="Arial" w:cs="Arial"/>
                <w:b/>
                <w:color w:val="000000" w:themeColor="text1"/>
                <w:sz w:val="24"/>
                <w:szCs w:val="24"/>
              </w:rPr>
            </w:pPr>
            <w:r w:rsidRPr="007051D9">
              <w:rPr>
                <w:rFonts w:ascii="Arial" w:hAnsi="Arial" w:cs="Arial"/>
                <w:b/>
                <w:color w:val="000000" w:themeColor="text1"/>
                <w:sz w:val="24"/>
                <w:szCs w:val="24"/>
              </w:rPr>
              <w:t>Durchführung</w:t>
            </w:r>
          </w:p>
          <w:p w14:paraId="645DC8FC" w14:textId="77777777" w:rsidR="007051D9" w:rsidRPr="007051D9" w:rsidRDefault="007051D9" w:rsidP="007051D9">
            <w:pPr>
              <w:spacing w:before="120" w:after="120"/>
              <w:rPr>
                <w:rFonts w:ascii="Arial" w:hAnsi="Arial" w:cs="Arial"/>
                <w:bCs/>
                <w:color w:val="000000" w:themeColor="text1"/>
                <w:sz w:val="24"/>
                <w:szCs w:val="24"/>
              </w:rPr>
            </w:pPr>
            <w:r w:rsidRPr="007051D9">
              <w:rPr>
                <w:rFonts w:ascii="Arial" w:hAnsi="Arial" w:cs="Arial"/>
                <w:bCs/>
                <w:color w:val="000000" w:themeColor="text1"/>
                <w:sz w:val="24"/>
                <w:szCs w:val="24"/>
              </w:rPr>
              <w:t xml:space="preserve">Der Einsatz von Medien und Hilfsmitteln obliegt der unterweisenden Führungskraft. Die wichtigsten Aspekte des Themas sind für die Mitarbeiter in einem Handout zusammenzufassen. </w:t>
            </w:r>
          </w:p>
          <w:p w14:paraId="45ABBAD9" w14:textId="517EB3DA" w:rsidR="007051D9" w:rsidRPr="007051D9" w:rsidRDefault="007051D9" w:rsidP="007051D9">
            <w:pPr>
              <w:spacing w:before="120" w:after="120"/>
              <w:rPr>
                <w:rFonts w:ascii="Arial" w:hAnsi="Arial" w:cs="Arial"/>
                <w:bCs/>
                <w:color w:val="000000" w:themeColor="text1"/>
                <w:sz w:val="24"/>
                <w:szCs w:val="24"/>
              </w:rPr>
            </w:pPr>
            <w:r w:rsidRPr="007051D9">
              <w:rPr>
                <w:rFonts w:ascii="Arial" w:hAnsi="Arial" w:cs="Arial"/>
                <w:bCs/>
                <w:color w:val="000000" w:themeColor="text1"/>
                <w:sz w:val="24"/>
                <w:szCs w:val="24"/>
              </w:rPr>
              <w:t>Die Durchführung erfolgt im Arbeitsbereich der Mitarbeiter und ist auf die vor Ort vorherrschenden Gefahren abzustimmen.</w:t>
            </w:r>
          </w:p>
          <w:p w14:paraId="682BDE16" w14:textId="77777777" w:rsidR="007051D9" w:rsidRPr="007051D9" w:rsidRDefault="007051D9" w:rsidP="007051D9">
            <w:pPr>
              <w:spacing w:before="120" w:after="120"/>
              <w:rPr>
                <w:rFonts w:ascii="Arial" w:hAnsi="Arial" w:cs="Arial"/>
                <w:b/>
                <w:color w:val="000000" w:themeColor="text1"/>
                <w:sz w:val="24"/>
                <w:szCs w:val="24"/>
              </w:rPr>
            </w:pPr>
            <w:r w:rsidRPr="007051D9">
              <w:rPr>
                <w:rFonts w:ascii="Arial" w:hAnsi="Arial" w:cs="Arial"/>
                <w:b/>
                <w:color w:val="000000" w:themeColor="text1"/>
                <w:sz w:val="24"/>
                <w:szCs w:val="24"/>
              </w:rPr>
              <w:t>Nachbereitung und Dokumentation</w:t>
            </w:r>
          </w:p>
          <w:p w14:paraId="75F3E83A" w14:textId="77777777" w:rsidR="007051D9" w:rsidRPr="007051D9" w:rsidRDefault="007051D9" w:rsidP="007051D9">
            <w:pPr>
              <w:spacing w:before="120" w:after="120"/>
              <w:rPr>
                <w:rFonts w:ascii="Arial" w:hAnsi="Arial" w:cs="Arial"/>
                <w:bCs/>
                <w:color w:val="000000" w:themeColor="text1"/>
                <w:sz w:val="24"/>
                <w:szCs w:val="24"/>
              </w:rPr>
            </w:pPr>
            <w:r w:rsidRPr="007051D9">
              <w:rPr>
                <w:rFonts w:ascii="Arial" w:hAnsi="Arial" w:cs="Arial"/>
                <w:bCs/>
                <w:color w:val="000000" w:themeColor="text1"/>
                <w:sz w:val="24"/>
                <w:szCs w:val="24"/>
              </w:rPr>
              <w:t>Die Dokumentation erfolgt mit Hilfe der dafür vorgesehenen Formulare. Diese werden für Unbefugte unzugänglich 20 Jahre aufbewahrt. Die erfolgten Termine werden mitarbeiterbezogen in einer Übersichtsliste erfasst. Mitarbeiter, die nicht teilnehmen konnten, werden zu einem Ausweichtermin zeitnah eingeladen.</w:t>
            </w:r>
          </w:p>
        </w:tc>
      </w:tr>
    </w:tbl>
    <w:p w14:paraId="5D1FB5B7" w14:textId="77777777" w:rsidR="007051D9" w:rsidRPr="00FA06E3" w:rsidRDefault="007051D9" w:rsidP="00FA06E3">
      <w:pPr>
        <w:spacing w:before="120" w:after="120"/>
        <w:rPr>
          <w:rFonts w:ascii="Arial" w:hAnsi="Arial" w:cs="Arial"/>
          <w:bCs/>
          <w:color w:val="000000" w:themeColor="text1"/>
          <w:sz w:val="24"/>
          <w:szCs w:val="24"/>
        </w:rPr>
      </w:pPr>
    </w:p>
    <w:sectPr w:rsidR="007051D9" w:rsidRPr="00FA06E3" w:rsidSect="007051D9">
      <w:headerReference w:type="default" r:id="rId9"/>
      <w:pgSz w:w="11906" w:h="16838" w:code="9"/>
      <w:pgMar w:top="-1276"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C308" w14:textId="77777777" w:rsidR="000C03BB" w:rsidRDefault="000C03BB" w:rsidP="002A5D13">
      <w:pPr>
        <w:spacing w:after="0" w:line="240" w:lineRule="auto"/>
      </w:pPr>
      <w:r>
        <w:separator/>
      </w:r>
    </w:p>
  </w:endnote>
  <w:endnote w:type="continuationSeparator" w:id="0">
    <w:p w14:paraId="0D1793FA" w14:textId="77777777" w:rsidR="000C03BB" w:rsidRDefault="000C03BB"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8E85" w14:textId="77777777" w:rsidR="000C03BB" w:rsidRDefault="000C03BB" w:rsidP="002A5D13">
      <w:pPr>
        <w:spacing w:after="0" w:line="240" w:lineRule="auto"/>
      </w:pPr>
      <w:r>
        <w:separator/>
      </w:r>
    </w:p>
  </w:footnote>
  <w:footnote w:type="continuationSeparator" w:id="0">
    <w:p w14:paraId="5886C161" w14:textId="77777777" w:rsidR="000C03BB" w:rsidRDefault="000C03BB"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030942" w14:textId="77777777" w:rsidTr="005A461E">
      <w:tc>
        <w:tcPr>
          <w:tcW w:w="1500" w:type="pct"/>
          <w:tcBorders>
            <w:bottom w:val="single" w:sz="4" w:space="0" w:color="auto"/>
          </w:tcBorders>
          <w:shd w:val="clear" w:color="auto" w:fill="3480C6"/>
          <w:vAlign w:val="center"/>
        </w:tcPr>
        <w:p w14:paraId="1541640F" w14:textId="52E78E95" w:rsidR="007A7CA7" w:rsidRPr="007A7CA7" w:rsidRDefault="00ED3984" w:rsidP="006E0BDB">
          <w:pPr>
            <w:pStyle w:val="Kopfzeile"/>
            <w:jc w:val="center"/>
            <w:rPr>
              <w:b/>
              <w:color w:val="FFFFFF"/>
            </w:rPr>
          </w:pPr>
          <w:r>
            <w:rPr>
              <w:b/>
              <w:color w:val="FFFFFF"/>
              <w:sz w:val="24"/>
            </w:rPr>
            <w:t>Ausgabe 0</w:t>
          </w:r>
          <w:r w:rsidR="003E36DC">
            <w:rPr>
              <w:b/>
              <w:color w:val="FFFFFF"/>
              <w:sz w:val="24"/>
            </w:rPr>
            <w:t>8</w:t>
          </w:r>
          <w:r w:rsidR="007A7CA7" w:rsidRPr="007A7CA7">
            <w:rPr>
              <w:b/>
              <w:color w:val="FFFFFF"/>
              <w:sz w:val="24"/>
            </w:rPr>
            <w:t xml:space="preserve"> - 20</w:t>
          </w:r>
          <w:r w:rsidR="00696A92">
            <w:rPr>
              <w:b/>
              <w:color w:val="FFFFFF"/>
              <w:sz w:val="24"/>
            </w:rPr>
            <w:t>2</w:t>
          </w:r>
          <w:r w:rsidR="00F44690">
            <w:rPr>
              <w:b/>
              <w:color w:val="FFFFFF"/>
              <w:sz w:val="24"/>
            </w:rPr>
            <w:t>5</w:t>
          </w:r>
        </w:p>
      </w:tc>
      <w:tc>
        <w:tcPr>
          <w:tcW w:w="4000" w:type="pct"/>
          <w:tcBorders>
            <w:bottom w:val="single" w:sz="4" w:space="0" w:color="auto"/>
          </w:tcBorders>
          <w:vAlign w:val="bottom"/>
        </w:tcPr>
        <w:p w14:paraId="08A8564A" w14:textId="408FC76F" w:rsidR="007A7CA7" w:rsidRPr="007A7CA7" w:rsidRDefault="00696A92" w:rsidP="005A461E">
          <w:pPr>
            <w:pStyle w:val="Kopfzeile"/>
            <w:jc w:val="center"/>
            <w:rPr>
              <w:color w:val="000000"/>
              <w:sz w:val="24"/>
            </w:rPr>
          </w:pPr>
          <w:r w:rsidRPr="006E1553">
            <w:rPr>
              <w:rFonts w:ascii="Arial" w:hAnsi="Arial" w:cs="Arial"/>
              <w:b/>
              <w:noProof/>
              <w:color w:val="000000"/>
              <w:sz w:val="24"/>
              <w:lang w:eastAsia="de-DE"/>
            </w:rPr>
            <w:drawing>
              <wp:inline distT="0" distB="0" distL="0" distR="0" wp14:anchorId="02A1650F" wp14:editId="69000369">
                <wp:extent cx="2169160" cy="723265"/>
                <wp:effectExtent l="0" t="0" r="0" b="0"/>
                <wp:docPr id="1826508035" name="Grafik 1826508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723265"/>
                        </a:xfrm>
                        <a:prstGeom prst="rect">
                          <a:avLst/>
                        </a:prstGeom>
                        <a:noFill/>
                        <a:ln>
                          <a:noFill/>
                        </a:ln>
                      </pic:spPr>
                    </pic:pic>
                  </a:graphicData>
                </a:graphic>
              </wp:inline>
            </w:drawing>
          </w:r>
        </w:p>
      </w:tc>
    </w:tr>
  </w:tbl>
  <w:p w14:paraId="3887018B" w14:textId="77777777" w:rsidR="007A7CA7" w:rsidRDefault="007A7CA7">
    <w:pPr>
      <w:pStyle w:val="Kopfzeile"/>
    </w:pPr>
  </w:p>
  <w:p w14:paraId="2E52FFC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00604190">
    <w:abstractNumId w:val="9"/>
  </w:num>
  <w:num w:numId="2" w16cid:durableId="1456217558">
    <w:abstractNumId w:val="19"/>
  </w:num>
  <w:num w:numId="3" w16cid:durableId="1803574363">
    <w:abstractNumId w:val="21"/>
  </w:num>
  <w:num w:numId="4" w16cid:durableId="1661150236">
    <w:abstractNumId w:val="10"/>
  </w:num>
  <w:num w:numId="5" w16cid:durableId="840630696">
    <w:abstractNumId w:val="6"/>
  </w:num>
  <w:num w:numId="6" w16cid:durableId="1786457857">
    <w:abstractNumId w:val="7"/>
  </w:num>
  <w:num w:numId="7" w16cid:durableId="273442169">
    <w:abstractNumId w:val="12"/>
  </w:num>
  <w:num w:numId="8" w16cid:durableId="1239441314">
    <w:abstractNumId w:val="11"/>
  </w:num>
  <w:num w:numId="9" w16cid:durableId="1978216536">
    <w:abstractNumId w:val="8"/>
  </w:num>
  <w:num w:numId="10" w16cid:durableId="646931857">
    <w:abstractNumId w:val="5"/>
  </w:num>
  <w:num w:numId="11" w16cid:durableId="1137146208">
    <w:abstractNumId w:val="20"/>
  </w:num>
  <w:num w:numId="12" w16cid:durableId="1204052296">
    <w:abstractNumId w:val="14"/>
  </w:num>
  <w:num w:numId="13" w16cid:durableId="1106383001">
    <w:abstractNumId w:val="15"/>
  </w:num>
  <w:num w:numId="14" w16cid:durableId="793400410">
    <w:abstractNumId w:val="13"/>
  </w:num>
  <w:num w:numId="15" w16cid:durableId="170730696">
    <w:abstractNumId w:val="16"/>
  </w:num>
  <w:num w:numId="16" w16cid:durableId="1470124009">
    <w:abstractNumId w:val="17"/>
  </w:num>
  <w:num w:numId="17" w16cid:durableId="1016734673">
    <w:abstractNumId w:val="18"/>
  </w:num>
  <w:num w:numId="18" w16cid:durableId="1796101997">
    <w:abstractNumId w:val="4"/>
  </w:num>
  <w:num w:numId="19" w16cid:durableId="1924483445">
    <w:abstractNumId w:val="3"/>
  </w:num>
  <w:num w:numId="20" w16cid:durableId="2132623539">
    <w:abstractNumId w:val="2"/>
  </w:num>
  <w:num w:numId="21" w16cid:durableId="1909261134">
    <w:abstractNumId w:val="1"/>
  </w:num>
  <w:num w:numId="22" w16cid:durableId="33943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70D06"/>
    <w:rsid w:val="000A7B82"/>
    <w:rsid w:val="000B50CC"/>
    <w:rsid w:val="000C03BB"/>
    <w:rsid w:val="000C6A2D"/>
    <w:rsid w:val="000E0582"/>
    <w:rsid w:val="0015409B"/>
    <w:rsid w:val="001B429B"/>
    <w:rsid w:val="00205D0C"/>
    <w:rsid w:val="00247E00"/>
    <w:rsid w:val="0027096C"/>
    <w:rsid w:val="002766CF"/>
    <w:rsid w:val="0028515F"/>
    <w:rsid w:val="002A5D13"/>
    <w:rsid w:val="002B029B"/>
    <w:rsid w:val="002B4419"/>
    <w:rsid w:val="002D45E4"/>
    <w:rsid w:val="002E4378"/>
    <w:rsid w:val="002F735B"/>
    <w:rsid w:val="002F7B4F"/>
    <w:rsid w:val="00314796"/>
    <w:rsid w:val="00343558"/>
    <w:rsid w:val="003676E3"/>
    <w:rsid w:val="00380EF0"/>
    <w:rsid w:val="003B1C00"/>
    <w:rsid w:val="003E3400"/>
    <w:rsid w:val="003E36DC"/>
    <w:rsid w:val="00433F51"/>
    <w:rsid w:val="004639C0"/>
    <w:rsid w:val="004706F5"/>
    <w:rsid w:val="004955F6"/>
    <w:rsid w:val="00496A7E"/>
    <w:rsid w:val="004A47F9"/>
    <w:rsid w:val="004B6C90"/>
    <w:rsid w:val="004C2396"/>
    <w:rsid w:val="0050689E"/>
    <w:rsid w:val="00551B88"/>
    <w:rsid w:val="00587D31"/>
    <w:rsid w:val="005A0C69"/>
    <w:rsid w:val="005A461E"/>
    <w:rsid w:val="005E1850"/>
    <w:rsid w:val="00606AB2"/>
    <w:rsid w:val="00614D0A"/>
    <w:rsid w:val="00653E72"/>
    <w:rsid w:val="00661981"/>
    <w:rsid w:val="00696A92"/>
    <w:rsid w:val="006A5CFE"/>
    <w:rsid w:val="006E0BDB"/>
    <w:rsid w:val="006E18EF"/>
    <w:rsid w:val="006E2625"/>
    <w:rsid w:val="007051D9"/>
    <w:rsid w:val="00782522"/>
    <w:rsid w:val="007A7CA7"/>
    <w:rsid w:val="007B0290"/>
    <w:rsid w:val="007C0AE5"/>
    <w:rsid w:val="007E1A2E"/>
    <w:rsid w:val="00811578"/>
    <w:rsid w:val="00831E73"/>
    <w:rsid w:val="00841FA8"/>
    <w:rsid w:val="00852BFB"/>
    <w:rsid w:val="008633AC"/>
    <w:rsid w:val="00887070"/>
    <w:rsid w:val="008B1F83"/>
    <w:rsid w:val="008D079C"/>
    <w:rsid w:val="008E62B1"/>
    <w:rsid w:val="00937B0B"/>
    <w:rsid w:val="009433D9"/>
    <w:rsid w:val="00983536"/>
    <w:rsid w:val="009B721F"/>
    <w:rsid w:val="009F084F"/>
    <w:rsid w:val="00A06C64"/>
    <w:rsid w:val="00A20C9E"/>
    <w:rsid w:val="00AC136E"/>
    <w:rsid w:val="00B01FFE"/>
    <w:rsid w:val="00B42C1E"/>
    <w:rsid w:val="00B707AF"/>
    <w:rsid w:val="00B87D52"/>
    <w:rsid w:val="00BD71E9"/>
    <w:rsid w:val="00C135D1"/>
    <w:rsid w:val="00C310AF"/>
    <w:rsid w:val="00C73E1A"/>
    <w:rsid w:val="00CC38C8"/>
    <w:rsid w:val="00D86187"/>
    <w:rsid w:val="00DB146B"/>
    <w:rsid w:val="00DB32C7"/>
    <w:rsid w:val="00E113DA"/>
    <w:rsid w:val="00E2265E"/>
    <w:rsid w:val="00ED3984"/>
    <w:rsid w:val="00EF0BF1"/>
    <w:rsid w:val="00F20663"/>
    <w:rsid w:val="00F44690"/>
    <w:rsid w:val="00FA06E3"/>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5C08"/>
  <w15:chartTrackingRefBased/>
  <w15:docId w15:val="{80CA79C6-0582-41D0-B4DB-A10E5E20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character" w:styleId="Kommentarzeichen">
    <w:name w:val="annotation reference"/>
    <w:uiPriority w:val="99"/>
    <w:unhideWhenUsed/>
    <w:rsid w:val="007051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3E3039-4ABB-4CE4-91AF-66D1F0A5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1763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2025-07-13T23:41:00Z</dcterms:created>
  <dcterms:modified xsi:type="dcterms:W3CDTF">2025-07-13T23:41:00Z</dcterms:modified>
</cp:coreProperties>
</file>