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E82FD" w14:textId="77777777" w:rsidR="00782939" w:rsidRDefault="007A7CA7" w:rsidP="005928CC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7CB9251D" w14:textId="39A4AD06" w:rsidR="00C61190" w:rsidRPr="005928CC" w:rsidRDefault="00303DAD" w:rsidP="005928CC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C61190" w:rsidRPr="00C61190" w14:paraId="3960C9FF" w14:textId="77777777" w:rsidTr="00620C34">
        <w:trPr>
          <w:trHeight w:val="335"/>
          <w:jc w:val="center"/>
        </w:trPr>
        <w:tc>
          <w:tcPr>
            <w:tcW w:w="9351" w:type="dxa"/>
            <w:shd w:val="clear" w:color="auto" w:fill="00AAAD"/>
          </w:tcPr>
          <w:p w14:paraId="65D1B6DB" w14:textId="2B540DF7" w:rsidR="00C61190" w:rsidRPr="00C61190" w:rsidRDefault="00620C34" w:rsidP="001A164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620C3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Übersicht: Schluckstörungen haben massive Folgen für den betroffenen Bewohner</w:t>
            </w:r>
          </w:p>
        </w:tc>
      </w:tr>
      <w:tr w:rsidR="00782939" w:rsidRPr="00782939" w14:paraId="5291E7A3" w14:textId="77777777" w:rsidTr="00620C34">
        <w:trPr>
          <w:trHeight w:val="106"/>
          <w:jc w:val="center"/>
        </w:trPr>
        <w:tc>
          <w:tcPr>
            <w:tcW w:w="9351" w:type="dxa"/>
            <w:shd w:val="clear" w:color="auto" w:fill="auto"/>
          </w:tcPr>
          <w:p w14:paraId="6CBFEFC8" w14:textId="04BADAF5" w:rsidR="00620C34" w:rsidRPr="00620C34" w:rsidRDefault="00620C34" w:rsidP="00620C34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447"/>
              <w:rPr>
                <w:rFonts w:ascii="Arial" w:hAnsi="Arial" w:cs="Arial"/>
                <w:color w:val="000000" w:themeColor="text1"/>
                <w:sz w:val="24"/>
              </w:rPr>
            </w:pPr>
            <w:r w:rsidRPr="00620C34">
              <w:rPr>
                <w:rFonts w:ascii="Arial" w:hAnsi="Arial" w:cs="Arial"/>
                <w:color w:val="000000" w:themeColor="text1"/>
                <w:sz w:val="24"/>
              </w:rPr>
              <w:t>Da der Genuss am Essen und Trinken verloren geht, kommt es zu einer stark beeintr</w:t>
            </w:r>
            <w:r w:rsidRPr="00620C34">
              <w:rPr>
                <w:rFonts w:ascii="Arial" w:hAnsi="Arial" w:cs="Arial"/>
                <w:color w:val="000000" w:themeColor="text1"/>
                <w:sz w:val="24"/>
              </w:rPr>
              <w:t>ä</w:t>
            </w:r>
            <w:r w:rsidRPr="00620C34">
              <w:rPr>
                <w:rFonts w:ascii="Arial" w:hAnsi="Arial" w:cs="Arial"/>
                <w:color w:val="000000" w:themeColor="text1"/>
                <w:sz w:val="24"/>
              </w:rPr>
              <w:t>chtigten Lebensqualit</w:t>
            </w:r>
            <w:r w:rsidRPr="00620C34">
              <w:rPr>
                <w:rFonts w:ascii="Arial" w:hAnsi="Arial" w:cs="Arial"/>
                <w:color w:val="000000" w:themeColor="text1"/>
                <w:sz w:val="24"/>
              </w:rPr>
              <w:t>ä</w:t>
            </w:r>
            <w:r w:rsidRPr="00620C34">
              <w:rPr>
                <w:rFonts w:ascii="Arial" w:hAnsi="Arial" w:cs="Arial"/>
                <w:color w:val="000000" w:themeColor="text1"/>
                <w:sz w:val="24"/>
              </w:rPr>
              <w:t>t.</w:t>
            </w:r>
          </w:p>
          <w:p w14:paraId="1A5EBD2D" w14:textId="4D06AC38" w:rsidR="00620C34" w:rsidRPr="00620C34" w:rsidRDefault="00620C34" w:rsidP="00620C34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447"/>
              <w:rPr>
                <w:rFonts w:ascii="Arial" w:hAnsi="Arial" w:cs="Arial"/>
                <w:color w:val="000000" w:themeColor="text1"/>
                <w:sz w:val="24"/>
              </w:rPr>
            </w:pPr>
            <w:r w:rsidRPr="00620C34">
              <w:rPr>
                <w:rFonts w:ascii="Arial" w:hAnsi="Arial" w:cs="Arial"/>
                <w:color w:val="000000" w:themeColor="text1"/>
                <w:sz w:val="24"/>
              </w:rPr>
              <w:t>Durch Fl</w:t>
            </w:r>
            <w:r w:rsidRPr="00620C34">
              <w:rPr>
                <w:rFonts w:ascii="Arial" w:hAnsi="Arial" w:cs="Arial"/>
                <w:color w:val="000000" w:themeColor="text1"/>
                <w:sz w:val="24"/>
              </w:rPr>
              <w:t>ü</w:t>
            </w:r>
            <w:r w:rsidRPr="00620C34">
              <w:rPr>
                <w:rFonts w:ascii="Arial" w:hAnsi="Arial" w:cs="Arial"/>
                <w:color w:val="000000" w:themeColor="text1"/>
                <w:sz w:val="24"/>
              </w:rPr>
              <w:t>ssigkeitsmangel kommt es zur Austrocknung.</w:t>
            </w:r>
          </w:p>
          <w:p w14:paraId="62D4BB4C" w14:textId="77777777" w:rsidR="00782939" w:rsidRPr="00620C34" w:rsidRDefault="00620C34" w:rsidP="00620C34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447"/>
              <w:rPr>
                <w:rFonts w:ascii="Arial" w:hAnsi="Arial" w:cs="Arial"/>
                <w:color w:val="000000" w:themeColor="text1"/>
                <w:sz w:val="24"/>
              </w:rPr>
            </w:pPr>
            <w:r w:rsidRPr="00620C34">
              <w:rPr>
                <w:rFonts w:ascii="Arial" w:hAnsi="Arial" w:cs="Arial"/>
                <w:color w:val="000000" w:themeColor="text1"/>
                <w:sz w:val="24"/>
              </w:rPr>
              <w:t>Da die Bewohner Angst haben, sich zu verschlucken bzw. zu</w:t>
            </w:r>
            <w:r w:rsidRPr="00620C34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620C34">
              <w:rPr>
                <w:rFonts w:ascii="Arial" w:hAnsi="Arial" w:cs="Arial"/>
                <w:color w:val="000000" w:themeColor="text1"/>
                <w:sz w:val="24"/>
              </w:rPr>
              <w:t>ersticken, wird das Essen und Trinken häufig abgelehnt. Dies führt zu einer Gewichtsabnahme oder im schlimmsten Fall sogar zu einer Mangelernährung.</w:t>
            </w:r>
          </w:p>
          <w:p w14:paraId="138AE578" w14:textId="7702AD8A" w:rsidR="00620C34" w:rsidRPr="00620C34" w:rsidRDefault="00620C34" w:rsidP="00620C34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447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620C34">
              <w:rPr>
                <w:rFonts w:ascii="Arial" w:hAnsi="Arial" w:cs="Arial"/>
                <w:color w:val="000000" w:themeColor="text1"/>
                <w:sz w:val="24"/>
              </w:rPr>
              <w:t>Außerdem besteht die Gefahr einer Lungenentzündung.</w:t>
            </w:r>
            <w:r w:rsidRPr="00620C34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620C34">
              <w:rPr>
                <w:rFonts w:ascii="Arial" w:hAnsi="Arial" w:cs="Arial"/>
                <w:color w:val="000000" w:themeColor="text1"/>
                <w:sz w:val="24"/>
              </w:rPr>
              <w:t>Denn wenn beim Essen und Trinken natürliche Schutzreflexe, wie Schlucken, Husten oder Würgen, fehlen, kann durch das Eindringen von Speichel, Flüssigkeit oder Nahrung in die Luftröhre eine Aspirationspneumonie entstehen.</w:t>
            </w:r>
          </w:p>
        </w:tc>
      </w:tr>
    </w:tbl>
    <w:p w14:paraId="0D960078" w14:textId="77777777" w:rsidR="005928CC" w:rsidRDefault="005928CC" w:rsidP="00C73E1A"/>
    <w:p w14:paraId="5ED44A0B" w14:textId="77777777" w:rsidR="00782939" w:rsidRDefault="00782939" w:rsidP="00C73E1A"/>
    <w:sectPr w:rsidR="00782939" w:rsidSect="005928CC">
      <w:headerReference w:type="default" r:id="rId9"/>
      <w:pgSz w:w="11906" w:h="16838" w:code="9"/>
      <w:pgMar w:top="-141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C70FB3">
      <w:tc>
        <w:tcPr>
          <w:tcW w:w="1500" w:type="pct"/>
          <w:tcBorders>
            <w:bottom w:val="single" w:sz="4" w:space="0" w:color="auto"/>
          </w:tcBorders>
          <w:shd w:val="clear" w:color="auto" w:fill="E5EDDB"/>
          <w:vAlign w:val="center"/>
        </w:tcPr>
        <w:p w14:paraId="0F27D582" w14:textId="6C0A33AC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1252A1">
            <w:rPr>
              <w:b/>
              <w:sz w:val="24"/>
            </w:rPr>
            <w:t>14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shd w:val="clear" w:color="auto" w:fill="00AAAD"/>
          <w:vAlign w:val="bottom"/>
        </w:tcPr>
        <w:p w14:paraId="0636A895" w14:textId="3001D4D4" w:rsidR="007A7CA7" w:rsidRPr="00C70FB3" w:rsidRDefault="008522CE" w:rsidP="007A7CA7">
          <w:pPr>
            <w:pStyle w:val="Kopfzeile"/>
            <w:rPr>
              <w:b/>
              <w:bCs/>
              <w:color w:val="76923C"/>
              <w:sz w:val="32"/>
              <w:szCs w:val="24"/>
            </w:rPr>
          </w:pPr>
          <w:r w:rsidRPr="00C70FB3">
            <w:rPr>
              <w:b/>
              <w:color w:val="FFFFFF" w:themeColor="background1"/>
              <w:sz w:val="40"/>
              <w:szCs w:val="24"/>
            </w:rPr>
            <w:t>Stationäre Pflege</w:t>
          </w:r>
          <w:r w:rsidR="00DD7135" w:rsidRPr="00C70FB3">
            <w:rPr>
              <w:bCs/>
              <w:color w:val="FFFFFF" w:themeColor="background1"/>
              <w:sz w:val="40"/>
              <w:szCs w:val="24"/>
            </w:rPr>
            <w:t xml:space="preserve"> </w:t>
          </w:r>
          <w:r w:rsidRPr="00C70FB3">
            <w:rPr>
              <w:rFonts w:ascii="Book Antiqua" w:hAnsi="Book Antiqua"/>
              <w:bCs/>
              <w:i/>
              <w:iCs/>
              <w:color w:val="FFFFFF" w:themeColor="background1"/>
              <w:sz w:val="40"/>
              <w:szCs w:val="24"/>
            </w:rPr>
            <w:t>aktuell</w:t>
          </w:r>
          <w:r w:rsidR="007A7CA7" w:rsidRPr="00C70FB3">
            <w:rPr>
              <w:bCs/>
              <w:sz w:val="40"/>
              <w:szCs w:val="24"/>
            </w:rPr>
            <w:t xml:space="preserve"> </w:t>
          </w:r>
        </w:p>
        <w:p w14:paraId="79EE1320" w14:textId="7C9B2DD7" w:rsidR="008522CE" w:rsidRPr="00C70FB3" w:rsidRDefault="00C70FB3" w:rsidP="007A7CA7">
          <w:pPr>
            <w:pStyle w:val="Kopfzeile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C70FB3">
            <w:rPr>
              <w:rFonts w:ascii="Tahoma" w:hAnsi="Tahoma" w:cs="Tahoma"/>
              <w:b/>
              <w:bCs/>
              <w:color w:val="000000" w:themeColor="text1"/>
              <w:sz w:val="16"/>
            </w:rPr>
            <w:t>Qualität und Sicherheit für Ihre Leitungs-Praxis Im Alten- und Pflegeheim</w:t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885DE9"/>
    <w:multiLevelType w:val="hybridMultilevel"/>
    <w:tmpl w:val="E31E7B5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07FD3"/>
    <w:multiLevelType w:val="hybridMultilevel"/>
    <w:tmpl w:val="2864F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679D6"/>
    <w:multiLevelType w:val="hybridMultilevel"/>
    <w:tmpl w:val="0A607962"/>
    <w:lvl w:ilvl="0" w:tplc="7BB2BF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47325"/>
    <w:multiLevelType w:val="hybridMultilevel"/>
    <w:tmpl w:val="5336B17A"/>
    <w:lvl w:ilvl="0" w:tplc="7BB2BFB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AA70FB"/>
    <w:multiLevelType w:val="hybridMultilevel"/>
    <w:tmpl w:val="499EC2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A06BD"/>
    <w:multiLevelType w:val="hybridMultilevel"/>
    <w:tmpl w:val="646ACF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12"/>
  </w:num>
  <w:num w:numId="2" w16cid:durableId="1000696356">
    <w:abstractNumId w:val="22"/>
  </w:num>
  <w:num w:numId="3" w16cid:durableId="622343131">
    <w:abstractNumId w:val="27"/>
  </w:num>
  <w:num w:numId="4" w16cid:durableId="2098211513">
    <w:abstractNumId w:val="13"/>
  </w:num>
  <w:num w:numId="5" w16cid:durableId="1446730418">
    <w:abstractNumId w:val="8"/>
  </w:num>
  <w:num w:numId="6" w16cid:durableId="1411586306">
    <w:abstractNumId w:val="10"/>
  </w:num>
  <w:num w:numId="7" w16cid:durableId="94787950">
    <w:abstractNumId w:val="15"/>
  </w:num>
  <w:num w:numId="8" w16cid:durableId="1669751253">
    <w:abstractNumId w:val="14"/>
  </w:num>
  <w:num w:numId="9" w16cid:durableId="786630957">
    <w:abstractNumId w:val="11"/>
  </w:num>
  <w:num w:numId="10" w16cid:durableId="1424759463">
    <w:abstractNumId w:val="6"/>
  </w:num>
  <w:num w:numId="11" w16cid:durableId="1814102308">
    <w:abstractNumId w:val="23"/>
  </w:num>
  <w:num w:numId="12" w16cid:durableId="269510518">
    <w:abstractNumId w:val="17"/>
  </w:num>
  <w:num w:numId="13" w16cid:durableId="2119713375">
    <w:abstractNumId w:val="18"/>
  </w:num>
  <w:num w:numId="14" w16cid:durableId="1635139796">
    <w:abstractNumId w:val="16"/>
  </w:num>
  <w:num w:numId="15" w16cid:durableId="1498955337">
    <w:abstractNumId w:val="19"/>
  </w:num>
  <w:num w:numId="16" w16cid:durableId="396052214">
    <w:abstractNumId w:val="20"/>
  </w:num>
  <w:num w:numId="17" w16cid:durableId="2053142037">
    <w:abstractNumId w:val="21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  <w:num w:numId="23" w16cid:durableId="724765733">
    <w:abstractNumId w:val="7"/>
  </w:num>
  <w:num w:numId="24" w16cid:durableId="1425031530">
    <w:abstractNumId w:val="9"/>
  </w:num>
  <w:num w:numId="25" w16cid:durableId="1518617346">
    <w:abstractNumId w:val="24"/>
  </w:num>
  <w:num w:numId="26" w16cid:durableId="146671228">
    <w:abstractNumId w:val="5"/>
  </w:num>
  <w:num w:numId="27" w16cid:durableId="1465997744">
    <w:abstractNumId w:val="25"/>
  </w:num>
  <w:num w:numId="28" w16cid:durableId="9837580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252A1"/>
    <w:rsid w:val="0015409B"/>
    <w:rsid w:val="00196105"/>
    <w:rsid w:val="001A164E"/>
    <w:rsid w:val="001B429B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676E3"/>
    <w:rsid w:val="00380EF0"/>
    <w:rsid w:val="003E3400"/>
    <w:rsid w:val="00433F51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28CC"/>
    <w:rsid w:val="00596F46"/>
    <w:rsid w:val="005B6F38"/>
    <w:rsid w:val="005E5BB1"/>
    <w:rsid w:val="00614D0A"/>
    <w:rsid w:val="00620C34"/>
    <w:rsid w:val="006365AC"/>
    <w:rsid w:val="00653E72"/>
    <w:rsid w:val="00661981"/>
    <w:rsid w:val="006A5CFE"/>
    <w:rsid w:val="006B2EF6"/>
    <w:rsid w:val="006E18EF"/>
    <w:rsid w:val="006F5300"/>
    <w:rsid w:val="00782939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07E23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53130"/>
    <w:rsid w:val="00C61190"/>
    <w:rsid w:val="00C70FB3"/>
    <w:rsid w:val="00C73E1A"/>
    <w:rsid w:val="00CC38C8"/>
    <w:rsid w:val="00DB32C7"/>
    <w:rsid w:val="00DB77A4"/>
    <w:rsid w:val="00DD7135"/>
    <w:rsid w:val="00DE1518"/>
    <w:rsid w:val="00DE1767"/>
    <w:rsid w:val="00E2265E"/>
    <w:rsid w:val="00EF43D3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2025-06-26T09:47:00Z</dcterms:created>
  <dcterms:modified xsi:type="dcterms:W3CDTF">2025-06-26T09:47:00Z</dcterms:modified>
</cp:coreProperties>
</file>