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62336C60">
                <wp:simplePos x="0" y="0"/>
                <wp:positionH relativeFrom="column">
                  <wp:posOffset>4853305</wp:posOffset>
                </wp:positionH>
                <wp:positionV relativeFrom="paragraph">
                  <wp:posOffset>1214755</wp:posOffset>
                </wp:positionV>
                <wp:extent cx="1270000" cy="419100"/>
                <wp:effectExtent l="0" t="0" r="25400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44FDFB10" w:rsidR="0075023C" w:rsidRPr="0075023C" w:rsidRDefault="00750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Ausgabe 07/25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5.65pt;width:100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" fillcolor="#f1a983 [1941]" strokecolor="#f6c5ac [1301]" strokeweight=".5pt">
                <v:textbox>
                  <w:txbxContent>
                    <w:p w14:paraId="3BDBDBA4" w14:textId="44FDFB10" w:rsidR="0075023C" w:rsidRPr="0075023C" w:rsidRDefault="0075023C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Ausgabe 07/25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9E49B" w14:textId="77777777" w:rsidR="005B4BA1" w:rsidRDefault="005B4BA1"/>
    <w:tbl>
      <w:tblPr>
        <w:tblStyle w:val="Tabellenraster"/>
        <w:tblpPr w:leftFromText="141" w:rightFromText="141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2627"/>
        <w:gridCol w:w="1459"/>
        <w:gridCol w:w="4976"/>
      </w:tblGrid>
      <w:tr w:rsidR="005B4BA1" w:rsidRPr="005B4BA1" w14:paraId="0D3682A2" w14:textId="77777777" w:rsidTr="005B4BA1">
        <w:tc>
          <w:tcPr>
            <w:tcW w:w="9062" w:type="dxa"/>
            <w:gridSpan w:val="3"/>
            <w:shd w:val="clear" w:color="auto" w:fill="F6C5AC" w:themeFill="accent2" w:themeFillTint="66"/>
          </w:tcPr>
          <w:p w14:paraId="4B6C1A37" w14:textId="77777777" w:rsidR="005B4BA1" w:rsidRPr="005B4BA1" w:rsidRDefault="005B4BA1" w:rsidP="005B4BA1">
            <w:pPr>
              <w:pStyle w:val="KRBSubhead"/>
              <w:framePr w:hSpace="0" w:wrap="auto" w:vAnchor="margin" w:hAnchor="text" w:yAlign="inline"/>
              <w:suppressOverlap w:val="0"/>
              <w:jc w:val="center"/>
              <w:rPr>
                <w:sz w:val="32"/>
                <w:szCs w:val="32"/>
              </w:rPr>
            </w:pPr>
            <w:r w:rsidRPr="005B4BA1">
              <w:rPr>
                <w:sz w:val="32"/>
                <w:szCs w:val="32"/>
              </w:rPr>
              <w:lastRenderedPageBreak/>
              <w:t>Übersicht: Diese Sonderrechte stehen schwerbehinderten Mitarbeitern zu</w:t>
            </w:r>
          </w:p>
        </w:tc>
      </w:tr>
      <w:tr w:rsidR="005B4BA1" w:rsidRPr="00D11BF9" w14:paraId="63154B33" w14:textId="77777777" w:rsidTr="005B4BA1">
        <w:tc>
          <w:tcPr>
            <w:tcW w:w="2627" w:type="dxa"/>
            <w:shd w:val="clear" w:color="auto" w:fill="FAE2D5" w:themeFill="accent2" w:themeFillTint="33"/>
          </w:tcPr>
          <w:p w14:paraId="25D2E5AC" w14:textId="77777777" w:rsidR="005B4BA1" w:rsidRPr="005B4BA1" w:rsidRDefault="005B4BA1" w:rsidP="00715D7A">
            <w:pPr>
              <w:pStyle w:val="KRBSubhead"/>
              <w:framePr w:hSpace="0" w:wrap="auto" w:vAnchor="margin" w:hAnchor="text" w:yAlign="inline"/>
              <w:suppressOverlap w:val="0"/>
              <w:rPr>
                <w:sz w:val="28"/>
                <w:szCs w:val="28"/>
              </w:rPr>
            </w:pPr>
            <w:r w:rsidRPr="005B4BA1">
              <w:rPr>
                <w:sz w:val="28"/>
                <w:szCs w:val="28"/>
              </w:rPr>
              <w:t>Recht</w:t>
            </w:r>
          </w:p>
        </w:tc>
        <w:tc>
          <w:tcPr>
            <w:tcW w:w="1405" w:type="dxa"/>
            <w:shd w:val="clear" w:color="auto" w:fill="FAE2D5" w:themeFill="accent2" w:themeFillTint="33"/>
          </w:tcPr>
          <w:p w14:paraId="26C1BBF8" w14:textId="77777777" w:rsidR="005B4BA1" w:rsidRPr="005B4BA1" w:rsidRDefault="005B4BA1" w:rsidP="00715D7A">
            <w:pPr>
              <w:pStyle w:val="KRBSubhead"/>
              <w:framePr w:hSpace="0" w:wrap="auto" w:vAnchor="margin" w:hAnchor="text" w:yAlign="inline"/>
              <w:suppressOverlap w:val="0"/>
              <w:rPr>
                <w:sz w:val="28"/>
                <w:szCs w:val="28"/>
              </w:rPr>
            </w:pPr>
            <w:r w:rsidRPr="005B4BA1">
              <w:rPr>
                <w:sz w:val="28"/>
                <w:szCs w:val="28"/>
              </w:rPr>
              <w:t>Vorschrift</w:t>
            </w:r>
          </w:p>
        </w:tc>
        <w:tc>
          <w:tcPr>
            <w:tcW w:w="5030" w:type="dxa"/>
            <w:shd w:val="clear" w:color="auto" w:fill="FAE2D5" w:themeFill="accent2" w:themeFillTint="33"/>
          </w:tcPr>
          <w:p w14:paraId="7154F3AE" w14:textId="77777777" w:rsidR="005B4BA1" w:rsidRPr="005B4BA1" w:rsidRDefault="005B4BA1" w:rsidP="00715D7A">
            <w:pPr>
              <w:pStyle w:val="KRBSubhead"/>
              <w:framePr w:hSpace="0" w:wrap="auto" w:vAnchor="margin" w:hAnchor="text" w:yAlign="inline"/>
              <w:suppressOverlap w:val="0"/>
              <w:rPr>
                <w:sz w:val="28"/>
                <w:szCs w:val="28"/>
              </w:rPr>
            </w:pPr>
            <w:r w:rsidRPr="005B4BA1">
              <w:rPr>
                <w:sz w:val="28"/>
                <w:szCs w:val="28"/>
              </w:rPr>
              <w:t>Konkrete Auswirkungen</w:t>
            </w:r>
          </w:p>
        </w:tc>
      </w:tr>
      <w:tr w:rsidR="005B4BA1" w:rsidRPr="00D11BF9" w14:paraId="78430721" w14:textId="77777777" w:rsidTr="005B4BA1">
        <w:tc>
          <w:tcPr>
            <w:tcW w:w="2627" w:type="dxa"/>
          </w:tcPr>
          <w:p w14:paraId="42F2E06F" w14:textId="77777777" w:rsidR="005B4BA1" w:rsidRPr="00D11BF9" w:rsidRDefault="005B4BA1" w:rsidP="00715D7A">
            <w:r w:rsidRPr="00D11BF9">
              <w:t>Diskriminierungsverbot</w:t>
            </w:r>
          </w:p>
        </w:tc>
        <w:tc>
          <w:tcPr>
            <w:tcW w:w="1405" w:type="dxa"/>
          </w:tcPr>
          <w:p w14:paraId="7A98D44B" w14:textId="77777777" w:rsidR="005B4BA1" w:rsidRPr="00D11BF9" w:rsidRDefault="005B4BA1" w:rsidP="00715D7A">
            <w:r w:rsidRPr="00D11BF9">
              <w:t>§§ 1, 6, 7 AGG</w:t>
            </w:r>
          </w:p>
        </w:tc>
        <w:tc>
          <w:tcPr>
            <w:tcW w:w="5030" w:type="dxa"/>
          </w:tcPr>
          <w:p w14:paraId="54153682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/>
              <w:contextualSpacing w:val="0"/>
            </w:pPr>
            <w:r w:rsidRPr="00D11BF9">
              <w:t>keine Frage nach Schwerbehinderung im Vorstellungsgespräch</w:t>
            </w:r>
          </w:p>
          <w:p w14:paraId="4CD8FD68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/>
              <w:contextualSpacing w:val="0"/>
            </w:pPr>
            <w:r w:rsidRPr="00D11BF9">
              <w:t>Schadenersatz, wenn Bewerber aufgrund ihrer Behinderung abgelehnt werden</w:t>
            </w:r>
          </w:p>
          <w:p w14:paraId="3B7E5300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/>
              <w:contextualSpacing w:val="0"/>
            </w:pPr>
            <w:r w:rsidRPr="00D11BF9">
              <w:t>Darlegungslast für Diskriminierung liegt bei den Bewerbern, Arbeitgeber muss die Vorwürfe widerlegen</w:t>
            </w:r>
          </w:p>
        </w:tc>
      </w:tr>
      <w:tr w:rsidR="005B4BA1" w:rsidRPr="00D11BF9" w14:paraId="7C11FE00" w14:textId="77777777" w:rsidTr="005B4BA1">
        <w:tc>
          <w:tcPr>
            <w:tcW w:w="2627" w:type="dxa"/>
          </w:tcPr>
          <w:p w14:paraId="3E757EEA" w14:textId="77777777" w:rsidR="005B4BA1" w:rsidRPr="00D11BF9" w:rsidRDefault="005B4BA1" w:rsidP="00715D7A">
            <w:r w:rsidRPr="00D11BF9">
              <w:t>Einladung zum Vorstellungsgespräch</w:t>
            </w:r>
          </w:p>
        </w:tc>
        <w:tc>
          <w:tcPr>
            <w:tcW w:w="1405" w:type="dxa"/>
          </w:tcPr>
          <w:p w14:paraId="3C92AFA6" w14:textId="77777777" w:rsidR="005B4BA1" w:rsidRPr="00D11BF9" w:rsidRDefault="005B4BA1" w:rsidP="00715D7A">
            <w:r w:rsidRPr="00D11BF9">
              <w:t>§ 165 SGB IX</w:t>
            </w:r>
          </w:p>
        </w:tc>
        <w:tc>
          <w:tcPr>
            <w:tcW w:w="5030" w:type="dxa"/>
          </w:tcPr>
          <w:p w14:paraId="62694892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>Pflicht zur Einladung zum Vorstellungsgespräch bei entsprechender Qualifizierung (Achtung! Gilt nur für kommunale Träger)</w:t>
            </w:r>
          </w:p>
        </w:tc>
      </w:tr>
      <w:tr w:rsidR="005B4BA1" w:rsidRPr="00D11BF9" w14:paraId="0ED088F5" w14:textId="77777777" w:rsidTr="005B4BA1">
        <w:tc>
          <w:tcPr>
            <w:tcW w:w="9062" w:type="dxa"/>
            <w:gridSpan w:val="3"/>
            <w:shd w:val="clear" w:color="auto" w:fill="FAE2D5" w:themeFill="accent2" w:themeFillTint="33"/>
          </w:tcPr>
          <w:p w14:paraId="594A3498" w14:textId="77777777" w:rsidR="005B4BA1" w:rsidRPr="00D11BF9" w:rsidRDefault="005B4BA1" w:rsidP="00715D7A">
            <w:pPr>
              <w:pStyle w:val="KRBSubhead"/>
              <w:framePr w:hSpace="0" w:wrap="auto" w:vAnchor="margin" w:hAnchor="text" w:yAlign="inline"/>
              <w:suppressOverlap w:val="0"/>
            </w:pPr>
            <w:r w:rsidRPr="00D11BF9">
              <w:t>Mitarbeiter</w:t>
            </w:r>
          </w:p>
        </w:tc>
      </w:tr>
      <w:tr w:rsidR="005B4BA1" w:rsidRPr="00D11BF9" w14:paraId="229A8EF2" w14:textId="77777777" w:rsidTr="005B4BA1">
        <w:tc>
          <w:tcPr>
            <w:tcW w:w="2627" w:type="dxa"/>
          </w:tcPr>
          <w:p w14:paraId="7122DB65" w14:textId="77777777" w:rsidR="005B4BA1" w:rsidRPr="00D11BF9" w:rsidRDefault="005B4BA1" w:rsidP="00715D7A">
            <w:r w:rsidRPr="00D11BF9">
              <w:t>Zusatzurlaub</w:t>
            </w:r>
          </w:p>
        </w:tc>
        <w:tc>
          <w:tcPr>
            <w:tcW w:w="1405" w:type="dxa"/>
          </w:tcPr>
          <w:p w14:paraId="61479AF7" w14:textId="77777777" w:rsidR="005B4BA1" w:rsidRPr="00D11BF9" w:rsidRDefault="005B4BA1" w:rsidP="00715D7A">
            <w:hyperlink r:id="rId9" w:history="1">
              <w:r w:rsidRPr="00D11BF9">
                <w:t>§ 208 Abs. 1 SGB IX</w:t>
              </w:r>
            </w:hyperlink>
          </w:p>
        </w:tc>
        <w:tc>
          <w:tcPr>
            <w:tcW w:w="5030" w:type="dxa"/>
          </w:tcPr>
          <w:p w14:paraId="1310D784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 xml:space="preserve">5 Tage Zusatzurlaub </w:t>
            </w:r>
          </w:p>
          <w:p w14:paraId="08289802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>Anteiliger Zusatzurlaub, wenn Mitarbeiter weniger als 5 Tage in der Woche arbeiten</w:t>
            </w:r>
          </w:p>
          <w:p w14:paraId="185C28EB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 xml:space="preserve">6 Tage Zusatzurlaub, wenn in 6-Tage-Woche gearbeitet </w:t>
            </w:r>
            <w:proofErr w:type="gramStart"/>
            <w:r w:rsidRPr="00D11BF9">
              <w:t>wird</w:t>
            </w:r>
            <w:proofErr w:type="gramEnd"/>
          </w:p>
        </w:tc>
      </w:tr>
      <w:tr w:rsidR="005B4BA1" w:rsidRPr="00D11BF9" w14:paraId="7ECF2E92" w14:textId="77777777" w:rsidTr="005B4BA1">
        <w:tc>
          <w:tcPr>
            <w:tcW w:w="2627" w:type="dxa"/>
          </w:tcPr>
          <w:p w14:paraId="1E6AB002" w14:textId="77777777" w:rsidR="005B4BA1" w:rsidRPr="00D11BF9" w:rsidRDefault="005B4BA1" w:rsidP="00715D7A">
            <w:r w:rsidRPr="00D11BF9">
              <w:t>Kündigungsschutz</w:t>
            </w:r>
          </w:p>
        </w:tc>
        <w:tc>
          <w:tcPr>
            <w:tcW w:w="1405" w:type="dxa"/>
          </w:tcPr>
          <w:p w14:paraId="7DEF0B3F" w14:textId="77777777" w:rsidR="005B4BA1" w:rsidRPr="00D11BF9" w:rsidRDefault="005B4BA1" w:rsidP="00715D7A">
            <w:r w:rsidRPr="00D11BF9">
              <w:t>§ 168 SGB IX</w:t>
            </w:r>
          </w:p>
        </w:tc>
        <w:tc>
          <w:tcPr>
            <w:tcW w:w="5030" w:type="dxa"/>
          </w:tcPr>
          <w:p w14:paraId="568F7DE0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>Kündigung nur mit Zustimmung des Integrationsamts, wenn:</w:t>
            </w:r>
          </w:p>
          <w:p w14:paraId="59DCDC4E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>Arbeitsverhältnis länger als 6 Monate besteht</w:t>
            </w:r>
          </w:p>
          <w:p w14:paraId="08FC85B0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>Mitarbeiter zu mindestens 50 % schwerbehindert ist</w:t>
            </w:r>
          </w:p>
          <w:p w14:paraId="5AA1733F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 xml:space="preserve">Anhörung der Schwerbehindertenvertretung und des Betriebsrats (soweit vorhanden) </w:t>
            </w:r>
            <w:r>
              <w:t xml:space="preserve">ist </w:t>
            </w:r>
            <w:r w:rsidRPr="00D11BF9">
              <w:t>Kündigungsvoraussetzung</w:t>
            </w:r>
          </w:p>
        </w:tc>
      </w:tr>
      <w:tr w:rsidR="005B4BA1" w:rsidRPr="00D11BF9" w14:paraId="4C7D7056" w14:textId="77777777" w:rsidTr="005B4BA1">
        <w:tc>
          <w:tcPr>
            <w:tcW w:w="2627" w:type="dxa"/>
          </w:tcPr>
          <w:p w14:paraId="6D3A8C73" w14:textId="77777777" w:rsidR="005B4BA1" w:rsidRPr="00D11BF9" w:rsidRDefault="005B4BA1" w:rsidP="00715D7A">
            <w:r w:rsidRPr="00D11BF9">
              <w:t>Arbeitszeitverkürzung</w:t>
            </w:r>
          </w:p>
        </w:tc>
        <w:tc>
          <w:tcPr>
            <w:tcW w:w="1405" w:type="dxa"/>
          </w:tcPr>
          <w:p w14:paraId="7A2B09E4" w14:textId="77777777" w:rsidR="005B4BA1" w:rsidRPr="00D11BF9" w:rsidRDefault="005B4BA1" w:rsidP="00715D7A">
            <w:r w:rsidRPr="00D11BF9">
              <w:t>§ 164 Abs. 5 S. 3 SGB IX</w:t>
            </w:r>
          </w:p>
        </w:tc>
        <w:tc>
          <w:tcPr>
            <w:tcW w:w="5030" w:type="dxa"/>
          </w:tcPr>
          <w:p w14:paraId="6027623E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>Anspruch auf Arbeitszeitverkürzung, wenn dies auf</w:t>
            </w:r>
            <w:r>
              <w:t>g</w:t>
            </w:r>
            <w:r w:rsidRPr="00D11BF9">
              <w:t>rund der Behinderung notwendig ist</w:t>
            </w:r>
          </w:p>
          <w:p w14:paraId="61F0CC72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 xml:space="preserve">Keine Fristen </w:t>
            </w:r>
          </w:p>
          <w:p w14:paraId="6DE02F24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>Arbeitgeber kann Antrag nicht ablehnen</w:t>
            </w:r>
          </w:p>
        </w:tc>
      </w:tr>
      <w:tr w:rsidR="005B4BA1" w:rsidRPr="00D11BF9" w14:paraId="3FDBB391" w14:textId="77777777" w:rsidTr="005B4BA1">
        <w:tc>
          <w:tcPr>
            <w:tcW w:w="2627" w:type="dxa"/>
          </w:tcPr>
          <w:p w14:paraId="034B819E" w14:textId="77777777" w:rsidR="005B4BA1" w:rsidRPr="00D11BF9" w:rsidRDefault="005B4BA1" w:rsidP="00715D7A">
            <w:r w:rsidRPr="00D11BF9">
              <w:t>Befreiung von Mehrarbeit</w:t>
            </w:r>
          </w:p>
        </w:tc>
        <w:tc>
          <w:tcPr>
            <w:tcW w:w="1405" w:type="dxa"/>
          </w:tcPr>
          <w:p w14:paraId="02B82CDF" w14:textId="77777777" w:rsidR="005B4BA1" w:rsidRPr="00D11BF9" w:rsidRDefault="005B4BA1" w:rsidP="00715D7A">
            <w:r w:rsidRPr="00D11BF9">
              <w:t>§ 207 SGB IX</w:t>
            </w:r>
          </w:p>
        </w:tc>
        <w:tc>
          <w:tcPr>
            <w:tcW w:w="5030" w:type="dxa"/>
          </w:tcPr>
          <w:p w14:paraId="6E9E0967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 xml:space="preserve">Mitarbeiter können beantragen, von Mehrarbeit ausgenommen zu werden, </w:t>
            </w:r>
            <w:r w:rsidRPr="00D11BF9">
              <w:lastRenderedPageBreak/>
              <w:t xml:space="preserve">soweit die tägliche Arbeitszeit 8 Stunden </w:t>
            </w:r>
            <w:proofErr w:type="gramStart"/>
            <w:r w:rsidRPr="00D11BF9">
              <w:t>überschreitet</w:t>
            </w:r>
            <w:proofErr w:type="gramEnd"/>
          </w:p>
        </w:tc>
      </w:tr>
      <w:tr w:rsidR="005B4BA1" w:rsidRPr="00D11BF9" w14:paraId="3136EA1F" w14:textId="77777777" w:rsidTr="005B4BA1">
        <w:tc>
          <w:tcPr>
            <w:tcW w:w="2627" w:type="dxa"/>
          </w:tcPr>
          <w:p w14:paraId="6A849D50" w14:textId="77777777" w:rsidR="005B4BA1" w:rsidRPr="00D11BF9" w:rsidRDefault="005B4BA1" w:rsidP="00715D7A">
            <w:r w:rsidRPr="00D11BF9">
              <w:lastRenderedPageBreak/>
              <w:t>Diskriminierungsverbot</w:t>
            </w:r>
          </w:p>
        </w:tc>
        <w:tc>
          <w:tcPr>
            <w:tcW w:w="1405" w:type="dxa"/>
          </w:tcPr>
          <w:p w14:paraId="7C93E585" w14:textId="77777777" w:rsidR="005B4BA1" w:rsidRPr="00D11BF9" w:rsidRDefault="005B4BA1" w:rsidP="00715D7A">
            <w:r w:rsidRPr="00D11BF9">
              <w:t>§ 164 Abs. 2 SGB IX</w:t>
            </w:r>
          </w:p>
        </w:tc>
        <w:tc>
          <w:tcPr>
            <w:tcW w:w="5030" w:type="dxa"/>
          </w:tcPr>
          <w:p w14:paraId="50D908E4" w14:textId="77777777" w:rsidR="005B4BA1" w:rsidRPr="00D11BF9" w:rsidRDefault="005B4BA1" w:rsidP="005B4BA1">
            <w:pPr>
              <w:pStyle w:val="Listenabsatz"/>
              <w:numPr>
                <w:ilvl w:val="0"/>
                <w:numId w:val="2"/>
              </w:numPr>
              <w:spacing w:after="139" w:line="280" w:lineRule="exact"/>
              <w:contextualSpacing w:val="0"/>
            </w:pPr>
            <w:r w:rsidRPr="00D11BF9">
              <w:t>Schwerbehinderte Mitarbeiter</w:t>
            </w:r>
            <w:r>
              <w:t xml:space="preserve"> </w:t>
            </w:r>
            <w:r w:rsidRPr="00D11BF9">
              <w:t>dürfen am Arbeitsplatz nicht diskriminiert werden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EC"/>
    <w:multiLevelType w:val="hybridMultilevel"/>
    <w:tmpl w:val="E89A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858"/>
    <w:multiLevelType w:val="hybridMultilevel"/>
    <w:tmpl w:val="5AA4C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06591">
    <w:abstractNumId w:val="0"/>
  </w:num>
  <w:num w:numId="2" w16cid:durableId="210490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1F0088"/>
    <w:rsid w:val="002B1C14"/>
    <w:rsid w:val="005B4BA1"/>
    <w:rsid w:val="00712C72"/>
    <w:rsid w:val="0075023C"/>
    <w:rsid w:val="008F5C47"/>
    <w:rsid w:val="009262D4"/>
    <w:rsid w:val="00945DC8"/>
    <w:rsid w:val="009D3A29"/>
    <w:rsid w:val="00CF02E1"/>
    <w:rsid w:val="00DF5CE7"/>
    <w:rsid w:val="00F4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aliases w:val="PNL_Auflistung,PRK_Auflistung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BSubhead">
    <w:name w:val="KRB_Subhead"/>
    <w:next w:val="Standard"/>
    <w:autoRedefine/>
    <w:qFormat/>
    <w:rsid w:val="005B4BA1"/>
    <w:pPr>
      <w:framePr w:hSpace="142" w:wrap="around" w:vAnchor="page" w:hAnchor="margin" w:y="4131"/>
      <w:spacing w:after="80" w:line="260" w:lineRule="exact"/>
      <w:ind w:left="360" w:hanging="360"/>
      <w:suppressOverlap/>
    </w:pPr>
    <w:rPr>
      <w:rFonts w:cs="Times New Roman"/>
      <w:b/>
      <w:bCs/>
      <w:noProof/>
      <w:w w:val="98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etriebsrat.com/gesetze/sgb-9/20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3</cp:revision>
  <dcterms:created xsi:type="dcterms:W3CDTF">2025-07-28T09:33:00Z</dcterms:created>
  <dcterms:modified xsi:type="dcterms:W3CDTF">2025-07-28T09:34:00Z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