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34F5B68F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9D27B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9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34F5B68F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9D27B5">
                        <w:rPr>
                          <w:b/>
                          <w:bCs/>
                          <w:color w:val="FFFFFF" w:themeColor="background1"/>
                        </w:rPr>
                        <w:t>9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C4CDD" w14:paraId="45FF5AF9" w14:textId="55C57333" w:rsidTr="003F60DA">
        <w:trPr>
          <w:trHeight w:val="337"/>
        </w:trPr>
        <w:tc>
          <w:tcPr>
            <w:tcW w:w="9062" w:type="dxa"/>
            <w:shd w:val="clear" w:color="auto" w:fill="9E95BD"/>
            <w:tcMar>
              <w:top w:w="57" w:type="dxa"/>
              <w:bottom w:w="57" w:type="dxa"/>
            </w:tcMar>
          </w:tcPr>
          <w:p w14:paraId="12E158C7" w14:textId="374EAC64" w:rsidR="006C4CDD" w:rsidRPr="006C4CDD" w:rsidRDefault="006C4CDD" w:rsidP="006C4CDD">
            <w:pPr>
              <w:pStyle w:val="TabelleHead"/>
              <w:jc w:val="center"/>
              <w:rPr>
                <w:bCs w:val="0"/>
                <w:i w:val="0"/>
                <w:iCs w:val="0"/>
                <w:sz w:val="32"/>
                <w:szCs w:val="32"/>
              </w:rPr>
            </w:pPr>
            <w:r w:rsidRPr="006C4CDD">
              <w:rPr>
                <w:i w:val="0"/>
                <w:iCs w:val="0"/>
                <w:sz w:val="32"/>
                <w:szCs w:val="32"/>
                <w:lang w:val="de-DE"/>
              </w:rPr>
              <w:t>Epilepsierisiko bei verschiedenen Demenzformen</w:t>
            </w:r>
          </w:p>
        </w:tc>
      </w:tr>
      <w:tr w:rsidR="006C4CDD" w14:paraId="03BE8022" w14:textId="1D742AF4" w:rsidTr="00E735D7">
        <w:trPr>
          <w:trHeight w:val="225"/>
        </w:trPr>
        <w:tc>
          <w:tcPr>
            <w:tcW w:w="9062" w:type="dxa"/>
            <w:shd w:val="clear" w:color="auto" w:fill="F5F4F9"/>
            <w:tcMar>
              <w:top w:w="57" w:type="dxa"/>
              <w:bottom w:w="57" w:type="dxa"/>
            </w:tcMar>
          </w:tcPr>
          <w:p w14:paraId="54E48D37" w14:textId="77777777" w:rsidR="006C4CDD" w:rsidRDefault="006C4CDD" w:rsidP="006C4CDD">
            <w:pPr>
              <w:pStyle w:val="Flietext8"/>
              <w:numPr>
                <w:ilvl w:val="0"/>
                <w:numId w:val="3"/>
              </w:numPr>
              <w:rPr>
                <w:noProof/>
                <w:sz w:val="24"/>
                <w:szCs w:val="24"/>
                <w:lang w:val="de-DE"/>
              </w:rPr>
            </w:pPr>
            <w:r w:rsidRPr="00B864F5">
              <w:rPr>
                <w:b/>
                <w:bCs/>
                <w:sz w:val="24"/>
                <w:szCs w:val="24"/>
              </w:rPr>
              <w:t>Alzheimer:</w:t>
            </w:r>
            <w:r w:rsidRPr="00B864F5">
              <w:rPr>
                <w:sz w:val="24"/>
                <w:szCs w:val="24"/>
                <w:lang w:val="de-DE"/>
              </w:rPr>
              <w:t xml:space="preserve"> Die häufigste Form der Demenz ist mit einem besonders hohen Epilepsierisiko verbunden. Laut einer Studie von </w:t>
            </w:r>
            <w:proofErr w:type="spellStart"/>
            <w:r w:rsidRPr="00B864F5">
              <w:rPr>
                <w:sz w:val="24"/>
                <w:szCs w:val="24"/>
                <w:lang w:val="de-DE"/>
              </w:rPr>
              <w:t>Pandis</w:t>
            </w:r>
            <w:proofErr w:type="spellEnd"/>
            <w:r w:rsidRPr="00B864F5">
              <w:rPr>
                <w:sz w:val="24"/>
                <w:szCs w:val="24"/>
                <w:lang w:val="de-DE"/>
              </w:rPr>
              <w:t xml:space="preserve"> et al. (2006) leiden bis zu 10 bis 22 % der Alzheimer-Patienten im Verlauf der Erkrankung an epileptischen Anfällen.</w:t>
            </w:r>
          </w:p>
          <w:p w14:paraId="7EB11CC9" w14:textId="77777777" w:rsidR="006C4CDD" w:rsidRPr="00B864F5" w:rsidRDefault="006C4CDD" w:rsidP="006C4CDD">
            <w:pPr>
              <w:pStyle w:val="Flietext8"/>
              <w:ind w:left="720"/>
              <w:rPr>
                <w:noProof/>
                <w:sz w:val="24"/>
                <w:szCs w:val="24"/>
                <w:lang w:val="de-DE"/>
              </w:rPr>
            </w:pPr>
          </w:p>
          <w:p w14:paraId="24D56249" w14:textId="77777777" w:rsidR="006C4CDD" w:rsidRDefault="006C4CDD" w:rsidP="006C4CDD">
            <w:pPr>
              <w:pStyle w:val="Flietext8"/>
              <w:numPr>
                <w:ilvl w:val="0"/>
                <w:numId w:val="3"/>
              </w:numPr>
              <w:rPr>
                <w:noProof/>
                <w:sz w:val="24"/>
                <w:szCs w:val="24"/>
                <w:lang w:val="de-DE"/>
              </w:rPr>
            </w:pPr>
            <w:proofErr w:type="spellStart"/>
            <w:r w:rsidRPr="00B864F5">
              <w:rPr>
                <w:b/>
                <w:bCs/>
                <w:sz w:val="24"/>
                <w:szCs w:val="24"/>
              </w:rPr>
              <w:t>Vaskuläre</w:t>
            </w:r>
            <w:proofErr w:type="spellEnd"/>
            <w:r w:rsidRPr="00B864F5">
              <w:rPr>
                <w:b/>
                <w:bCs/>
                <w:sz w:val="24"/>
                <w:szCs w:val="24"/>
              </w:rPr>
              <w:t xml:space="preserve"> Demenz:</w:t>
            </w:r>
            <w:r w:rsidRPr="00B864F5">
              <w:rPr>
                <w:sz w:val="24"/>
                <w:szCs w:val="24"/>
                <w:lang w:val="de-DE"/>
              </w:rPr>
              <w:t xml:space="preserve"> Auch hier sind Krampfanfälle keine Seltenheit. Studien sprechen von einer Inzidenz von bis zu 15 %.</w:t>
            </w:r>
          </w:p>
          <w:p w14:paraId="7FDDD266" w14:textId="77777777" w:rsidR="006C4CDD" w:rsidRDefault="006C4CDD" w:rsidP="006C4CDD">
            <w:pPr>
              <w:pStyle w:val="Flietext8"/>
              <w:rPr>
                <w:noProof/>
                <w:sz w:val="24"/>
                <w:szCs w:val="24"/>
                <w:lang w:val="de-DE"/>
              </w:rPr>
            </w:pPr>
          </w:p>
          <w:p w14:paraId="0CA0A703" w14:textId="01834AB3" w:rsidR="006C4CDD" w:rsidRPr="00B864F5" w:rsidRDefault="006C4CDD" w:rsidP="006C4CDD">
            <w:pPr>
              <w:pStyle w:val="Flietext8"/>
              <w:numPr>
                <w:ilvl w:val="0"/>
                <w:numId w:val="3"/>
              </w:numPr>
              <w:rPr>
                <w:noProof/>
                <w:sz w:val="24"/>
                <w:szCs w:val="24"/>
                <w:lang w:val="de-DE"/>
              </w:rPr>
            </w:pPr>
            <w:r w:rsidRPr="00B864F5">
              <w:rPr>
                <w:b/>
                <w:bCs/>
                <w:sz w:val="24"/>
                <w:szCs w:val="24"/>
              </w:rPr>
              <w:t>Lewy-Körper-</w:t>
            </w:r>
            <w:proofErr w:type="spellStart"/>
            <w:r w:rsidRPr="00B864F5">
              <w:rPr>
                <w:b/>
                <w:bCs/>
                <w:sz w:val="24"/>
                <w:szCs w:val="24"/>
              </w:rPr>
              <w:t>Demenz</w:t>
            </w:r>
            <w:proofErr w:type="spellEnd"/>
            <w:r w:rsidRPr="00B864F5">
              <w:rPr>
                <w:b/>
                <w:bCs/>
                <w:sz w:val="24"/>
                <w:szCs w:val="24"/>
              </w:rPr>
              <w:t xml:space="preserve"> und </w:t>
            </w:r>
            <w:proofErr w:type="spellStart"/>
            <w:r w:rsidRPr="00B864F5">
              <w:rPr>
                <w:b/>
                <w:bCs/>
                <w:sz w:val="24"/>
                <w:szCs w:val="24"/>
              </w:rPr>
              <w:t>Frontotemporale</w:t>
            </w:r>
            <w:proofErr w:type="spellEnd"/>
            <w:r w:rsidRPr="00B864F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864F5">
              <w:rPr>
                <w:b/>
                <w:bCs/>
                <w:sz w:val="24"/>
                <w:szCs w:val="24"/>
              </w:rPr>
              <w:t>Demenz</w:t>
            </w:r>
            <w:proofErr w:type="spellEnd"/>
            <w:r w:rsidRPr="00B864F5">
              <w:rPr>
                <w:b/>
                <w:bCs/>
                <w:sz w:val="24"/>
                <w:szCs w:val="24"/>
              </w:rPr>
              <w:t>:</w:t>
            </w:r>
            <w:r w:rsidRPr="00B864F5">
              <w:rPr>
                <w:sz w:val="24"/>
                <w:szCs w:val="24"/>
                <w:lang w:val="de-DE"/>
              </w:rPr>
              <w:t xml:space="preserve"> Für diese Formen liegen weniger eindeutige Daten vor, jedoch deuten Fallberichte auf eine ebenfalls erhöhte Anfallsneigung hin.</w:t>
            </w:r>
          </w:p>
        </w:tc>
      </w:tr>
    </w:tbl>
    <w:p w14:paraId="3D9D80C1" w14:textId="77777777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2"/>
  </w:num>
  <w:num w:numId="2" w16cid:durableId="1981612574">
    <w:abstractNumId w:val="1"/>
  </w:num>
  <w:num w:numId="3" w16cid:durableId="77876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267EF"/>
    <w:rsid w:val="000443F8"/>
    <w:rsid w:val="00064B77"/>
    <w:rsid w:val="000650C1"/>
    <w:rsid w:val="00095262"/>
    <w:rsid w:val="000F6448"/>
    <w:rsid w:val="00102EC5"/>
    <w:rsid w:val="001913BD"/>
    <w:rsid w:val="001B37AB"/>
    <w:rsid w:val="001B55D9"/>
    <w:rsid w:val="00271140"/>
    <w:rsid w:val="00275440"/>
    <w:rsid w:val="00290C86"/>
    <w:rsid w:val="002B6182"/>
    <w:rsid w:val="00333EEC"/>
    <w:rsid w:val="003D4940"/>
    <w:rsid w:val="00401494"/>
    <w:rsid w:val="00401FCD"/>
    <w:rsid w:val="00407842"/>
    <w:rsid w:val="00412101"/>
    <w:rsid w:val="004342D5"/>
    <w:rsid w:val="0045444F"/>
    <w:rsid w:val="00456842"/>
    <w:rsid w:val="004D7817"/>
    <w:rsid w:val="00616EDB"/>
    <w:rsid w:val="006A242B"/>
    <w:rsid w:val="006B6B78"/>
    <w:rsid w:val="006C4CDD"/>
    <w:rsid w:val="006D5028"/>
    <w:rsid w:val="007272DE"/>
    <w:rsid w:val="00733B41"/>
    <w:rsid w:val="0074241F"/>
    <w:rsid w:val="007E1FE7"/>
    <w:rsid w:val="0090486F"/>
    <w:rsid w:val="009262D4"/>
    <w:rsid w:val="00945DC8"/>
    <w:rsid w:val="009D27B5"/>
    <w:rsid w:val="009D3A29"/>
    <w:rsid w:val="00A3620E"/>
    <w:rsid w:val="00A421EF"/>
    <w:rsid w:val="00A53691"/>
    <w:rsid w:val="00A615B8"/>
    <w:rsid w:val="00A64877"/>
    <w:rsid w:val="00A7645E"/>
    <w:rsid w:val="00A92087"/>
    <w:rsid w:val="00A96EA3"/>
    <w:rsid w:val="00AA02C2"/>
    <w:rsid w:val="00B52401"/>
    <w:rsid w:val="00B864F5"/>
    <w:rsid w:val="00B94B45"/>
    <w:rsid w:val="00BB3BEB"/>
    <w:rsid w:val="00CF46F6"/>
    <w:rsid w:val="00D23610"/>
    <w:rsid w:val="00DC182E"/>
    <w:rsid w:val="00ED0276"/>
    <w:rsid w:val="00F044D8"/>
    <w:rsid w:val="00F3746C"/>
    <w:rsid w:val="00F639B9"/>
    <w:rsid w:val="00F90969"/>
    <w:rsid w:val="00FA1E7D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BB61AC93-053A-4364-823D-1F44C14B3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2025-08-26T12:37:00Z</dcterms:created>
  <dcterms:modified xsi:type="dcterms:W3CDTF">2025-08-26T12:37:00Z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