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10F2CDEA" w14:textId="419DA45C" w:rsidR="00FC1CF2" w:rsidRPr="00FC1CF2" w:rsidRDefault="00FC1CF2" w:rsidP="00FC1CF2"/>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0"/>
      </w:tblGrid>
      <w:tr w:rsidR="00FC1CF2" w:rsidRPr="00FC1CF2" w14:paraId="2810EDFC" w14:textId="77777777" w:rsidTr="009321D2">
        <w:trPr>
          <w:trHeight w:val="122"/>
          <w:jc w:val="center"/>
        </w:trPr>
        <w:tc>
          <w:tcPr>
            <w:tcW w:w="10910" w:type="dxa"/>
            <w:shd w:val="clear" w:color="auto" w:fill="0099CC"/>
          </w:tcPr>
          <w:p w14:paraId="0836596A" w14:textId="2F58EB7D" w:rsidR="00FC1CF2" w:rsidRPr="00FC1CF2" w:rsidRDefault="00FC1CF2" w:rsidP="00FC1CF2">
            <w:pPr>
              <w:spacing w:before="120" w:after="120"/>
              <w:rPr>
                <w:rFonts w:ascii="Arial" w:hAnsi="Arial" w:cs="Arial"/>
                <w:b/>
                <w:color w:val="FFFFFF"/>
                <w:sz w:val="28"/>
                <w:szCs w:val="28"/>
              </w:rPr>
            </w:pPr>
            <w:r w:rsidRPr="00FC1CF2">
              <w:rPr>
                <w:rFonts w:ascii="Arial" w:hAnsi="Arial" w:cs="Arial"/>
                <w:b/>
                <w:color w:val="FFFFFF"/>
                <w:sz w:val="28"/>
                <w:szCs w:val="28"/>
              </w:rPr>
              <w:t>Übersicht: Wesentliche Änderungen</w:t>
            </w:r>
          </w:p>
        </w:tc>
      </w:tr>
      <w:tr w:rsidR="00FC1CF2" w:rsidRPr="00FC1CF2" w14:paraId="340469AA" w14:textId="77777777" w:rsidTr="009321D2">
        <w:trPr>
          <w:trHeight w:val="841"/>
          <w:jc w:val="center"/>
        </w:trPr>
        <w:tc>
          <w:tcPr>
            <w:tcW w:w="10910" w:type="dxa"/>
          </w:tcPr>
          <w:p w14:paraId="2D91B0A6" w14:textId="77777777" w:rsidR="00FC1CF2" w:rsidRPr="00FC1CF2" w:rsidRDefault="00FC1CF2" w:rsidP="00FC1CF2">
            <w:pPr>
              <w:spacing w:before="120" w:after="120"/>
              <w:rPr>
                <w:rFonts w:ascii="Arial" w:hAnsi="Arial" w:cs="Arial"/>
                <w:bCs/>
                <w:color w:val="000000" w:themeColor="text1"/>
                <w:sz w:val="24"/>
                <w:szCs w:val="24"/>
              </w:rPr>
            </w:pPr>
            <w:r w:rsidRPr="00FC1CF2">
              <w:rPr>
                <w:rFonts w:ascii="Arial" w:hAnsi="Arial" w:cs="Arial"/>
                <w:b/>
                <w:color w:val="000000" w:themeColor="text1"/>
                <w:sz w:val="24"/>
                <w:szCs w:val="24"/>
              </w:rPr>
              <w:t>Präambel:</w:t>
            </w:r>
            <w:r w:rsidRPr="00FC1CF2">
              <w:rPr>
                <w:rFonts w:ascii="Arial" w:hAnsi="Arial" w:cs="Arial"/>
                <w:bCs/>
                <w:color w:val="000000" w:themeColor="text1"/>
                <w:sz w:val="24"/>
                <w:szCs w:val="24"/>
              </w:rPr>
              <w:t xml:space="preserve"> Bei chronischen Wunden liegt in der Regel eine Grunderkrankung zugrunde. Ohne Berücksichtigung dieser kann es nicht zu einer Abheilung kom</w:t>
            </w:r>
            <w:r w:rsidRPr="00FC1CF2">
              <w:rPr>
                <w:rFonts w:ascii="Arial" w:hAnsi="Arial" w:cs="Arial"/>
                <w:bCs/>
                <w:color w:val="000000" w:themeColor="text1"/>
                <w:sz w:val="24"/>
                <w:szCs w:val="24"/>
              </w:rPr>
              <w:softHyphen/>
              <w:t xml:space="preserve">men. Die Grunderkrankung bekommt daher insgesamt mehr Aufmerksamkeit. Daher lautet die Definition nun: </w:t>
            </w:r>
          </w:p>
          <w:p w14:paraId="4932917E" w14:textId="77777777" w:rsidR="00FC1CF2" w:rsidRPr="00FC1CF2" w:rsidRDefault="00FC1CF2" w:rsidP="00FC1CF2">
            <w:pPr>
              <w:spacing w:before="120" w:after="120"/>
              <w:rPr>
                <w:rFonts w:ascii="Arial" w:hAnsi="Arial" w:cs="Arial"/>
                <w:bCs/>
                <w:color w:val="000000" w:themeColor="text1"/>
                <w:sz w:val="24"/>
                <w:szCs w:val="24"/>
              </w:rPr>
            </w:pPr>
            <w:r w:rsidRPr="00FC1CF2">
              <w:rPr>
                <w:rFonts w:ascii="Arial" w:hAnsi="Arial" w:cs="Arial"/>
                <w:bCs/>
                <w:color w:val="000000" w:themeColor="text1"/>
                <w:sz w:val="24"/>
                <w:szCs w:val="24"/>
              </w:rPr>
              <w:t>Chronische Wunden sind Wunden mit fehlender Abheilung innerhalb von 8 Wochen. Die im Expertenstandard adressierten Wunden sind alle Symptome einer zugrunde liegenden Erkrankung bzw. bei Dekubitus Folgen ursächlicher Risikofaktoren. Neben der Grunderkrankung oder den Risikofaktoren können aber auch weitere Faktoren eine Abheilung verzögern oder verhindern und entsprechende Auswirkungen auf die Lebensqualität haben. Eine korrekte Diagnose der ursächlichen Grunderkrankung und Identifikation begleitender intrinsischer (z. B. weitere beeinflussende Nebenerkrankun</w:t>
            </w:r>
            <w:r w:rsidRPr="00FC1CF2">
              <w:rPr>
                <w:rFonts w:ascii="Arial" w:hAnsi="Arial" w:cs="Arial"/>
                <w:bCs/>
                <w:color w:val="000000" w:themeColor="text1"/>
                <w:sz w:val="24"/>
                <w:szCs w:val="24"/>
              </w:rPr>
              <w:softHyphen/>
              <w:t>gen, reduzierter Allgemeinzustand) und extrinsischer Faktoren (z. B. Hygieneaspekte, beeinträchtigte soziale und strukturelle Voraussetzungen) ist daher unverzichtbar. (</w:t>
            </w:r>
            <w:proofErr w:type="spellStart"/>
            <w:r w:rsidRPr="00FC1CF2">
              <w:rPr>
                <w:rFonts w:ascii="Arial" w:hAnsi="Arial" w:cs="Arial"/>
                <w:bCs/>
                <w:color w:val="000000" w:themeColor="text1"/>
                <w:sz w:val="24"/>
                <w:szCs w:val="24"/>
              </w:rPr>
              <w:t>DGfW</w:t>
            </w:r>
            <w:proofErr w:type="spellEnd"/>
            <w:r w:rsidRPr="00FC1CF2">
              <w:rPr>
                <w:rFonts w:ascii="Arial" w:hAnsi="Arial" w:cs="Arial"/>
                <w:bCs/>
                <w:color w:val="000000" w:themeColor="text1"/>
                <w:sz w:val="24"/>
                <w:szCs w:val="24"/>
              </w:rPr>
              <w:t xml:space="preserve"> 2023, ICW 2023) </w:t>
            </w:r>
          </w:p>
        </w:tc>
      </w:tr>
      <w:tr w:rsidR="00FC1CF2" w:rsidRPr="00FC1CF2" w14:paraId="1483639E" w14:textId="77777777" w:rsidTr="009321D2">
        <w:trPr>
          <w:trHeight w:val="580"/>
          <w:jc w:val="center"/>
        </w:trPr>
        <w:tc>
          <w:tcPr>
            <w:tcW w:w="10910" w:type="dxa"/>
          </w:tcPr>
          <w:p w14:paraId="28565EE6" w14:textId="77777777" w:rsidR="00FC1CF2" w:rsidRPr="00FC1CF2" w:rsidRDefault="00FC1CF2" w:rsidP="00FC1CF2">
            <w:pPr>
              <w:spacing w:before="120" w:after="120"/>
              <w:rPr>
                <w:rFonts w:ascii="Arial" w:hAnsi="Arial" w:cs="Arial"/>
                <w:bCs/>
                <w:color w:val="000000" w:themeColor="text1"/>
                <w:sz w:val="24"/>
                <w:szCs w:val="24"/>
              </w:rPr>
            </w:pPr>
            <w:r w:rsidRPr="00FC1CF2">
              <w:rPr>
                <w:rFonts w:ascii="Arial" w:hAnsi="Arial" w:cs="Arial"/>
                <w:b/>
                <w:color w:val="000000" w:themeColor="text1"/>
                <w:sz w:val="24"/>
                <w:szCs w:val="24"/>
              </w:rPr>
              <w:t>1. Handlungsebene – Identifikation und Einschätzung:</w:t>
            </w:r>
            <w:r w:rsidRPr="00FC1CF2">
              <w:rPr>
                <w:rFonts w:ascii="Arial" w:hAnsi="Arial" w:cs="Arial"/>
                <w:bCs/>
                <w:color w:val="000000" w:themeColor="text1"/>
                <w:sz w:val="24"/>
                <w:szCs w:val="24"/>
              </w:rPr>
              <w:t xml:space="preserve"> Mit dem Ziel, die Be</w:t>
            </w:r>
            <w:r w:rsidRPr="00FC1CF2">
              <w:rPr>
                <w:rFonts w:ascii="Arial" w:hAnsi="Arial" w:cs="Arial"/>
                <w:bCs/>
                <w:color w:val="000000" w:themeColor="text1"/>
                <w:sz w:val="24"/>
                <w:szCs w:val="24"/>
              </w:rPr>
              <w:softHyphen/>
              <w:t xml:space="preserve">deutung von Grunderkrankung und </w:t>
            </w:r>
            <w:proofErr w:type="spellStart"/>
            <w:r w:rsidRPr="00FC1CF2">
              <w:rPr>
                <w:rFonts w:ascii="Arial" w:hAnsi="Arial" w:cs="Arial"/>
                <w:bCs/>
                <w:color w:val="000000" w:themeColor="text1"/>
                <w:sz w:val="24"/>
                <w:szCs w:val="24"/>
              </w:rPr>
              <w:t>Wundart</w:t>
            </w:r>
            <w:proofErr w:type="spellEnd"/>
            <w:r w:rsidRPr="00FC1CF2">
              <w:rPr>
                <w:rFonts w:ascii="Arial" w:hAnsi="Arial" w:cs="Arial"/>
                <w:bCs/>
                <w:color w:val="000000" w:themeColor="text1"/>
                <w:sz w:val="24"/>
                <w:szCs w:val="24"/>
              </w:rPr>
              <w:t xml:space="preserve"> hervorzuheben, wurde die Ergeb</w:t>
            </w:r>
            <w:r w:rsidRPr="00FC1CF2">
              <w:rPr>
                <w:rFonts w:ascii="Arial" w:hAnsi="Arial" w:cs="Arial"/>
                <w:bCs/>
                <w:color w:val="000000" w:themeColor="text1"/>
                <w:sz w:val="24"/>
                <w:szCs w:val="24"/>
              </w:rPr>
              <w:softHyphen/>
              <w:t>nisebene in E1a und E1b unterteilt. Deutlich hervorgehoben wurde die Empfeh</w:t>
            </w:r>
            <w:r w:rsidRPr="00FC1CF2">
              <w:rPr>
                <w:rFonts w:ascii="Arial" w:hAnsi="Arial" w:cs="Arial"/>
                <w:bCs/>
                <w:color w:val="000000" w:themeColor="text1"/>
                <w:sz w:val="24"/>
                <w:szCs w:val="24"/>
              </w:rPr>
              <w:softHyphen/>
              <w:t xml:space="preserve">lung, bei der Einschätzung pflegerische Fachexpertise hinzuziehen und das weitere Vorgehen zu besprechen. </w:t>
            </w:r>
          </w:p>
        </w:tc>
      </w:tr>
      <w:tr w:rsidR="00FC1CF2" w:rsidRPr="00FC1CF2" w14:paraId="54F0A90A" w14:textId="77777777" w:rsidTr="009321D2">
        <w:trPr>
          <w:trHeight w:val="465"/>
          <w:jc w:val="center"/>
        </w:trPr>
        <w:tc>
          <w:tcPr>
            <w:tcW w:w="10910" w:type="dxa"/>
          </w:tcPr>
          <w:p w14:paraId="0F915182" w14:textId="77777777" w:rsidR="00FC1CF2" w:rsidRPr="00FC1CF2" w:rsidRDefault="00FC1CF2" w:rsidP="00FC1CF2">
            <w:pPr>
              <w:spacing w:before="120" w:after="120"/>
              <w:rPr>
                <w:rFonts w:ascii="Arial" w:hAnsi="Arial" w:cs="Arial"/>
                <w:bCs/>
                <w:color w:val="000000" w:themeColor="text1"/>
                <w:sz w:val="24"/>
                <w:szCs w:val="24"/>
              </w:rPr>
            </w:pPr>
            <w:r w:rsidRPr="00FC1CF2">
              <w:rPr>
                <w:rFonts w:ascii="Arial" w:hAnsi="Arial" w:cs="Arial"/>
                <w:b/>
                <w:color w:val="000000" w:themeColor="text1"/>
                <w:sz w:val="24"/>
                <w:szCs w:val="24"/>
              </w:rPr>
              <w:t>2. Handlungsebene – Planung und Schnittstellenorganisation:</w:t>
            </w:r>
            <w:r w:rsidRPr="00FC1CF2">
              <w:rPr>
                <w:rFonts w:ascii="Arial" w:hAnsi="Arial" w:cs="Arial"/>
                <w:bCs/>
                <w:color w:val="000000" w:themeColor="text1"/>
                <w:sz w:val="24"/>
                <w:szCs w:val="24"/>
              </w:rPr>
              <w:t xml:space="preserve"> Im Struktur</w:t>
            </w:r>
            <w:r w:rsidRPr="00FC1CF2">
              <w:rPr>
                <w:rFonts w:ascii="Arial" w:hAnsi="Arial" w:cs="Arial"/>
                <w:bCs/>
                <w:color w:val="000000" w:themeColor="text1"/>
                <w:sz w:val="24"/>
                <w:szCs w:val="24"/>
              </w:rPr>
              <w:softHyphen/>
              <w:t>kriterium 2b wurde die Verfahrensregelung aufgenommen (bisher Ebene 1). Die</w:t>
            </w:r>
            <w:r w:rsidRPr="00FC1CF2">
              <w:rPr>
                <w:rFonts w:ascii="Arial" w:hAnsi="Arial" w:cs="Arial"/>
                <w:bCs/>
                <w:color w:val="000000" w:themeColor="text1"/>
                <w:sz w:val="24"/>
                <w:szCs w:val="24"/>
              </w:rPr>
              <w:softHyphen/>
              <w:t xml:space="preserve">se ist unverändert das zentrale Instrument, um den Umgang mit chronischen Wunden, z. B. Aufgabenverteilung etc., zu beschreiben. </w:t>
            </w:r>
          </w:p>
        </w:tc>
      </w:tr>
      <w:tr w:rsidR="00FC1CF2" w:rsidRPr="00FC1CF2" w14:paraId="05F451BE" w14:textId="77777777" w:rsidTr="009321D2">
        <w:trPr>
          <w:trHeight w:val="580"/>
          <w:jc w:val="center"/>
        </w:trPr>
        <w:tc>
          <w:tcPr>
            <w:tcW w:w="10910" w:type="dxa"/>
          </w:tcPr>
          <w:p w14:paraId="2F91C30B" w14:textId="77777777" w:rsidR="00FC1CF2" w:rsidRPr="00FC1CF2" w:rsidRDefault="00FC1CF2" w:rsidP="00FC1CF2">
            <w:pPr>
              <w:spacing w:before="120" w:after="120"/>
              <w:rPr>
                <w:rFonts w:ascii="Arial" w:hAnsi="Arial" w:cs="Arial"/>
                <w:bCs/>
                <w:color w:val="000000" w:themeColor="text1"/>
                <w:sz w:val="24"/>
                <w:szCs w:val="24"/>
              </w:rPr>
            </w:pPr>
            <w:r w:rsidRPr="00FC1CF2">
              <w:rPr>
                <w:rFonts w:ascii="Arial" w:hAnsi="Arial" w:cs="Arial"/>
                <w:b/>
                <w:color w:val="000000" w:themeColor="text1"/>
                <w:sz w:val="24"/>
                <w:szCs w:val="24"/>
              </w:rPr>
              <w:t>3. Handlungsebene – Information, Schulung und Beratung:</w:t>
            </w:r>
            <w:r w:rsidRPr="00FC1CF2">
              <w:rPr>
                <w:rFonts w:ascii="Arial" w:hAnsi="Arial" w:cs="Arial"/>
                <w:bCs/>
                <w:color w:val="000000" w:themeColor="text1"/>
                <w:sz w:val="24"/>
                <w:szCs w:val="24"/>
              </w:rPr>
              <w:t xml:space="preserve"> Hier hat es eine Verschiebung von der 4. in die 3. Ebene gegeben. In der Kommentierung finden sich zahlreiche Hinweise auf die Bedeutung der erforderlichen Kompetenzen der Pflegefachpersonen, z. B. in Sachen Gesprächstechniken, Techniken zur Verbes</w:t>
            </w:r>
            <w:r w:rsidRPr="00FC1CF2">
              <w:rPr>
                <w:rFonts w:ascii="Arial" w:hAnsi="Arial" w:cs="Arial"/>
                <w:bCs/>
                <w:color w:val="000000" w:themeColor="text1"/>
                <w:sz w:val="24"/>
                <w:szCs w:val="24"/>
              </w:rPr>
              <w:softHyphen/>
              <w:t xml:space="preserve">serung des Krankheitsverständnisses etc. </w:t>
            </w:r>
          </w:p>
        </w:tc>
      </w:tr>
      <w:tr w:rsidR="00FC1CF2" w:rsidRPr="00FC1CF2" w14:paraId="13BE9856" w14:textId="77777777" w:rsidTr="009321D2">
        <w:trPr>
          <w:trHeight w:val="925"/>
          <w:jc w:val="center"/>
        </w:trPr>
        <w:tc>
          <w:tcPr>
            <w:tcW w:w="10910" w:type="dxa"/>
          </w:tcPr>
          <w:p w14:paraId="08F0AA36" w14:textId="77777777" w:rsidR="00FC1CF2" w:rsidRPr="00FC1CF2" w:rsidRDefault="00FC1CF2" w:rsidP="00FC1CF2">
            <w:pPr>
              <w:spacing w:before="120" w:after="120"/>
              <w:rPr>
                <w:rFonts w:ascii="Arial" w:hAnsi="Arial" w:cs="Arial"/>
                <w:bCs/>
                <w:color w:val="000000" w:themeColor="text1"/>
                <w:sz w:val="24"/>
                <w:szCs w:val="24"/>
              </w:rPr>
            </w:pPr>
            <w:r w:rsidRPr="00FC1CF2">
              <w:rPr>
                <w:rFonts w:ascii="Arial" w:hAnsi="Arial" w:cs="Arial"/>
                <w:b/>
                <w:color w:val="000000" w:themeColor="text1"/>
                <w:sz w:val="24"/>
                <w:szCs w:val="24"/>
              </w:rPr>
              <w:t>4. Handlungsebene – Umsetzung der Maßnahmen:</w:t>
            </w:r>
            <w:r w:rsidRPr="00FC1CF2">
              <w:rPr>
                <w:rFonts w:ascii="Arial" w:hAnsi="Arial" w:cs="Arial"/>
                <w:bCs/>
                <w:color w:val="000000" w:themeColor="text1"/>
                <w:sz w:val="24"/>
                <w:szCs w:val="24"/>
              </w:rPr>
              <w:t xml:space="preserve"> Im Rahmen des Kriteriums 4b wird nun deutlich ein funktionierendes Entlassungsmanagement aus dem Krankenhaus eingefordert. Hintergrund hierfür war, dass in diesem Kriterium Einrichtungen aufgefordert werden, dafür Sorge zu tragen, dass Verband- und Hilfsmittel für eine kontinuierliche Versorgung vorhanden sind. Viele Pflegeein</w:t>
            </w:r>
            <w:r w:rsidRPr="00FC1CF2">
              <w:rPr>
                <w:rFonts w:ascii="Arial" w:hAnsi="Arial" w:cs="Arial"/>
                <w:bCs/>
                <w:color w:val="000000" w:themeColor="text1"/>
                <w:sz w:val="24"/>
                <w:szCs w:val="24"/>
              </w:rPr>
              <w:softHyphen/>
              <w:t>richtungen hatten in ihren Stellungnahmen hierzu angemerkt, dass die Verant</w:t>
            </w:r>
            <w:r w:rsidRPr="00FC1CF2">
              <w:rPr>
                <w:rFonts w:ascii="Arial" w:hAnsi="Arial" w:cs="Arial"/>
                <w:bCs/>
                <w:color w:val="000000" w:themeColor="text1"/>
                <w:sz w:val="24"/>
                <w:szCs w:val="24"/>
              </w:rPr>
              <w:softHyphen/>
              <w:t>wortung nur bedingt in ihrer Macht liegt, da sie wesentlich vom Entlassungsma</w:t>
            </w:r>
            <w:r w:rsidRPr="00FC1CF2">
              <w:rPr>
                <w:rFonts w:ascii="Arial" w:hAnsi="Arial" w:cs="Arial"/>
                <w:bCs/>
                <w:color w:val="000000" w:themeColor="text1"/>
                <w:sz w:val="24"/>
                <w:szCs w:val="24"/>
              </w:rPr>
              <w:softHyphen/>
              <w:t xml:space="preserve">nagement der Krankenhäuser abhängig sind. </w:t>
            </w:r>
          </w:p>
        </w:tc>
      </w:tr>
      <w:tr w:rsidR="00FC1CF2" w:rsidRPr="00FC1CF2" w14:paraId="5EC61851" w14:textId="77777777" w:rsidTr="009321D2">
        <w:trPr>
          <w:trHeight w:val="695"/>
          <w:jc w:val="center"/>
        </w:trPr>
        <w:tc>
          <w:tcPr>
            <w:tcW w:w="10910" w:type="dxa"/>
          </w:tcPr>
          <w:p w14:paraId="11E6CFFF" w14:textId="77777777" w:rsidR="00FC1CF2" w:rsidRPr="00FC1CF2" w:rsidRDefault="00FC1CF2" w:rsidP="00FC1CF2">
            <w:pPr>
              <w:spacing w:before="120" w:after="120"/>
              <w:rPr>
                <w:rFonts w:ascii="Arial" w:hAnsi="Arial" w:cs="Arial"/>
                <w:bCs/>
                <w:color w:val="000000" w:themeColor="text1"/>
                <w:sz w:val="24"/>
                <w:szCs w:val="24"/>
              </w:rPr>
            </w:pPr>
            <w:r w:rsidRPr="00FC1CF2">
              <w:rPr>
                <w:rFonts w:ascii="Arial" w:hAnsi="Arial" w:cs="Arial"/>
                <w:b/>
                <w:color w:val="000000" w:themeColor="text1"/>
                <w:sz w:val="24"/>
                <w:szCs w:val="24"/>
              </w:rPr>
              <w:t>5. Handlungsebene – Evaluation der Maßnahmen:</w:t>
            </w:r>
            <w:r w:rsidRPr="00FC1CF2">
              <w:rPr>
                <w:rFonts w:ascii="Arial" w:hAnsi="Arial" w:cs="Arial"/>
                <w:bCs/>
                <w:color w:val="000000" w:themeColor="text1"/>
                <w:sz w:val="24"/>
                <w:szCs w:val="24"/>
              </w:rPr>
              <w:t xml:space="preserve"> Das Kriterium E5 wurde neu formuliert. In der Konsultationsphase wurde nunmehr vereinbart, dass statt von „positiver Entwicklung der Wundheilung und Verbesserung der Lebensqua</w:t>
            </w:r>
            <w:r w:rsidRPr="00FC1CF2">
              <w:rPr>
                <w:rFonts w:ascii="Arial" w:hAnsi="Arial" w:cs="Arial"/>
                <w:bCs/>
                <w:color w:val="000000" w:themeColor="text1"/>
                <w:sz w:val="24"/>
                <w:szCs w:val="24"/>
              </w:rPr>
              <w:softHyphen/>
              <w:t xml:space="preserve">lität“ nun von „bestmöglicher Entwicklung“ gesprochen wird. Hiermit soll deutlich werden, dass das Abheilen einer chronischen Wunde nicht immer </w:t>
            </w:r>
            <w:proofErr w:type="gramStart"/>
            <w:r w:rsidRPr="00FC1CF2">
              <w:rPr>
                <w:rFonts w:ascii="Arial" w:hAnsi="Arial" w:cs="Arial"/>
                <w:bCs/>
                <w:color w:val="000000" w:themeColor="text1"/>
                <w:sz w:val="24"/>
                <w:szCs w:val="24"/>
              </w:rPr>
              <w:t>erreicht</w:t>
            </w:r>
            <w:proofErr w:type="gramEnd"/>
            <w:r w:rsidRPr="00FC1CF2">
              <w:rPr>
                <w:rFonts w:ascii="Arial" w:hAnsi="Arial" w:cs="Arial"/>
                <w:bCs/>
                <w:color w:val="000000" w:themeColor="text1"/>
                <w:sz w:val="24"/>
                <w:szCs w:val="24"/>
              </w:rPr>
              <w:t xml:space="preserve"> wer</w:t>
            </w:r>
            <w:r w:rsidRPr="00FC1CF2">
              <w:rPr>
                <w:rFonts w:ascii="Arial" w:hAnsi="Arial" w:cs="Arial"/>
                <w:bCs/>
                <w:color w:val="000000" w:themeColor="text1"/>
                <w:sz w:val="24"/>
                <w:szCs w:val="24"/>
              </w:rPr>
              <w:softHyphen/>
              <w:t xml:space="preserve">den kann. </w:t>
            </w:r>
          </w:p>
        </w:tc>
      </w:tr>
      <w:tr w:rsidR="009321D2" w:rsidRPr="009321D2" w14:paraId="6224C2EA" w14:textId="77777777" w:rsidTr="009321D2">
        <w:trPr>
          <w:trHeight w:val="695"/>
          <w:jc w:val="center"/>
        </w:trPr>
        <w:tc>
          <w:tcPr>
            <w:tcW w:w="10910" w:type="dxa"/>
          </w:tcPr>
          <w:p w14:paraId="6A47DE37" w14:textId="0C146D3D" w:rsidR="009321D2" w:rsidRPr="009321D2" w:rsidRDefault="009321D2" w:rsidP="00FC1CF2">
            <w:pPr>
              <w:spacing w:before="120" w:after="120"/>
              <w:rPr>
                <w:rFonts w:ascii="Arial" w:hAnsi="Arial" w:cs="Arial"/>
                <w:bCs/>
                <w:color w:val="000000" w:themeColor="text1"/>
                <w:sz w:val="24"/>
                <w:szCs w:val="24"/>
              </w:rPr>
            </w:pPr>
            <w:r w:rsidRPr="009321D2">
              <w:rPr>
                <w:rFonts w:ascii="Arial" w:hAnsi="Arial" w:cs="Arial"/>
                <w:b/>
                <w:color w:val="000000" w:themeColor="text1"/>
                <w:sz w:val="24"/>
                <w:szCs w:val="24"/>
              </w:rPr>
              <w:t>Quelle:</w:t>
            </w:r>
            <w:r w:rsidRPr="009321D2">
              <w:rPr>
                <w:rFonts w:ascii="Arial" w:hAnsi="Arial" w:cs="Arial"/>
                <w:bCs/>
                <w:color w:val="000000" w:themeColor="text1"/>
                <w:sz w:val="24"/>
                <w:szCs w:val="24"/>
              </w:rPr>
              <w:t xml:space="preserve"> In Anlehnung an den „Expertenstandard Pflege von Menschen mit chronischen Wunden“, 2. Aktualisierung 2025, Seite 10ff.</w:t>
            </w:r>
          </w:p>
        </w:tc>
      </w:tr>
    </w:tbl>
    <w:p w14:paraId="6BA22C89" w14:textId="77777777" w:rsidR="00FC1CF2" w:rsidRDefault="00FC1CF2" w:rsidP="00581B4B"/>
    <w:sectPr w:rsidR="00FC1CF2"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B20E" w14:textId="77777777" w:rsidR="00E416BB" w:rsidRDefault="00E416BB" w:rsidP="002A5D13">
      <w:pPr>
        <w:spacing w:after="0" w:line="240" w:lineRule="auto"/>
      </w:pPr>
      <w:r>
        <w:separator/>
      </w:r>
    </w:p>
  </w:endnote>
  <w:endnote w:type="continuationSeparator" w:id="0">
    <w:p w14:paraId="13401AA9" w14:textId="77777777" w:rsidR="00E416BB" w:rsidRDefault="00E416B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5D7A" w14:textId="77777777" w:rsidR="00E416BB" w:rsidRDefault="00E416BB" w:rsidP="002A5D13">
      <w:pPr>
        <w:spacing w:after="0" w:line="240" w:lineRule="auto"/>
      </w:pPr>
      <w:r>
        <w:separator/>
      </w:r>
    </w:p>
  </w:footnote>
  <w:footnote w:type="continuationSeparator" w:id="0">
    <w:p w14:paraId="3CFC05BC" w14:textId="77777777" w:rsidR="00E416BB" w:rsidRDefault="00E416B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1D8BBF17" w:rsidR="007A7CA7" w:rsidRPr="00E74AD6" w:rsidRDefault="00D97E25" w:rsidP="00D97E25">
          <w:pPr>
            <w:pStyle w:val="Kopfzeile"/>
            <w:jc w:val="center"/>
            <w:rPr>
              <w:b/>
              <w:color w:val="DAEEF3"/>
            </w:rPr>
          </w:pPr>
          <w:r>
            <w:rPr>
              <w:b/>
              <w:color w:val="DAEEF3"/>
              <w:sz w:val="24"/>
            </w:rPr>
            <w:t xml:space="preserve">Ausgabe </w:t>
          </w:r>
          <w:r w:rsidR="00F71260">
            <w:rPr>
              <w:b/>
              <w:color w:val="DAEEF3"/>
              <w:sz w:val="24"/>
            </w:rPr>
            <w:t>19</w:t>
          </w:r>
          <w:r w:rsidR="00A42A0D">
            <w:rPr>
              <w:b/>
              <w:color w:val="DAEEF3"/>
              <w:sz w:val="24"/>
            </w:rPr>
            <w:t xml:space="preserve"> - 20</w:t>
          </w:r>
          <w:r w:rsidR="009000A8">
            <w:rPr>
              <w:b/>
              <w:color w:val="DAEEF3"/>
              <w:sz w:val="24"/>
            </w:rPr>
            <w:t>2</w:t>
          </w:r>
          <w:r w:rsidR="00B67280">
            <w:rPr>
              <w:b/>
              <w:color w:val="DAEEF3"/>
              <w:sz w:val="24"/>
            </w:rPr>
            <w:t>5</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5D0D49"/>
    <w:multiLevelType w:val="hybridMultilevel"/>
    <w:tmpl w:val="9C8050FA"/>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30"/>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7"/>
  </w:num>
  <w:num w:numId="27" w16cid:durableId="379787300">
    <w:abstractNumId w:val="29"/>
  </w:num>
  <w:num w:numId="28" w16cid:durableId="424151893">
    <w:abstractNumId w:val="31"/>
  </w:num>
  <w:num w:numId="29" w16cid:durableId="107509980">
    <w:abstractNumId w:val="28"/>
  </w:num>
  <w:num w:numId="30" w16cid:durableId="223221979">
    <w:abstractNumId w:val="10"/>
  </w:num>
  <w:num w:numId="31" w16cid:durableId="817040694">
    <w:abstractNumId w:val="11"/>
  </w:num>
  <w:num w:numId="32" w16cid:durableId="18860165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E33AA"/>
    <w:rsid w:val="00205D0C"/>
    <w:rsid w:val="00217E03"/>
    <w:rsid w:val="00243397"/>
    <w:rsid w:val="0027096C"/>
    <w:rsid w:val="002766CF"/>
    <w:rsid w:val="0028515F"/>
    <w:rsid w:val="002A5D13"/>
    <w:rsid w:val="002B029B"/>
    <w:rsid w:val="002B4419"/>
    <w:rsid w:val="002D45E4"/>
    <w:rsid w:val="002E4378"/>
    <w:rsid w:val="003676E3"/>
    <w:rsid w:val="00380EF0"/>
    <w:rsid w:val="003E3400"/>
    <w:rsid w:val="00433F51"/>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A5CFE"/>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E62B1"/>
    <w:rsid w:val="009000A8"/>
    <w:rsid w:val="009321D2"/>
    <w:rsid w:val="009352A5"/>
    <w:rsid w:val="00937B0B"/>
    <w:rsid w:val="009433D9"/>
    <w:rsid w:val="00983536"/>
    <w:rsid w:val="00985C2F"/>
    <w:rsid w:val="009A6365"/>
    <w:rsid w:val="009B721F"/>
    <w:rsid w:val="009E6591"/>
    <w:rsid w:val="009F64ED"/>
    <w:rsid w:val="00A06C64"/>
    <w:rsid w:val="00A42A0D"/>
    <w:rsid w:val="00A5005A"/>
    <w:rsid w:val="00AD39D1"/>
    <w:rsid w:val="00AF17D9"/>
    <w:rsid w:val="00B01FFE"/>
    <w:rsid w:val="00B16885"/>
    <w:rsid w:val="00B57401"/>
    <w:rsid w:val="00B67280"/>
    <w:rsid w:val="00B707AF"/>
    <w:rsid w:val="00B81586"/>
    <w:rsid w:val="00B87D52"/>
    <w:rsid w:val="00BC4462"/>
    <w:rsid w:val="00BD71E9"/>
    <w:rsid w:val="00C310AF"/>
    <w:rsid w:val="00C42D52"/>
    <w:rsid w:val="00C73E1A"/>
    <w:rsid w:val="00C91E68"/>
    <w:rsid w:val="00C9289F"/>
    <w:rsid w:val="00CC38C8"/>
    <w:rsid w:val="00CD4F0B"/>
    <w:rsid w:val="00D56265"/>
    <w:rsid w:val="00D6029A"/>
    <w:rsid w:val="00D96EA7"/>
    <w:rsid w:val="00D97E25"/>
    <w:rsid w:val="00DA1ADE"/>
    <w:rsid w:val="00DB32C7"/>
    <w:rsid w:val="00DD233A"/>
    <w:rsid w:val="00E028D9"/>
    <w:rsid w:val="00E2265E"/>
    <w:rsid w:val="00E416BB"/>
    <w:rsid w:val="00E6519C"/>
    <w:rsid w:val="00E74AD6"/>
    <w:rsid w:val="00ED7053"/>
    <w:rsid w:val="00F20663"/>
    <w:rsid w:val="00F71260"/>
    <w:rsid w:val="00FA19D7"/>
    <w:rsid w:val="00FC1CF2"/>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2025-08-14T18:55:00Z</dcterms:created>
  <dcterms:modified xsi:type="dcterms:W3CDTF">2025-08-14T18:55:00Z</dcterms:modified>
</cp:coreProperties>
</file>