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</w:tcPr>
          <w:p w14:paraId="06073016" w14:textId="7CCC4B62" w:rsidR="00C53089" w:rsidRPr="00E475C4" w:rsidRDefault="00765D29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765D29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Allgemeine Infusionen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</w:tcPr>
          <w:p w14:paraId="06073018" w14:textId="51061051" w:rsidR="00C53089" w:rsidRPr="002A2E77" w:rsidRDefault="00765D29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511B9EB6" w14:textId="4F812AC8" w:rsidR="00765D29" w:rsidRDefault="00F80234" w:rsidP="00765D2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61971AF8" w14:textId="77777777" w:rsidR="00765D29" w:rsidRDefault="00765D29" w:rsidP="00ED2BFA">
      <w:pPr>
        <w:rPr>
          <w:rFonts w:ascii="Arial" w:hAnsi="Arial" w:cs="Arial"/>
          <w:color w:val="000000"/>
        </w:rPr>
      </w:pPr>
    </w:p>
    <w:tbl>
      <w:tblPr>
        <w:tblW w:w="52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047"/>
        <w:gridCol w:w="6378"/>
        <w:gridCol w:w="1133"/>
        <w:gridCol w:w="1331"/>
      </w:tblGrid>
      <w:tr w:rsidR="00765D29" w:rsidRPr="00765D29" w14:paraId="3F955E3E" w14:textId="77777777" w:rsidTr="00765D29">
        <w:trPr>
          <w:jc w:val="center"/>
        </w:trPr>
        <w:tc>
          <w:tcPr>
            <w:tcW w:w="529" w:type="pct"/>
            <w:shd w:val="clear" w:color="auto" w:fill="0098BB"/>
          </w:tcPr>
          <w:p w14:paraId="7DC45F46" w14:textId="77777777" w:rsidR="00765D29" w:rsidRPr="00765D29" w:rsidRDefault="00765D29" w:rsidP="00765D2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65D29">
              <w:rPr>
                <w:rFonts w:ascii="Arial" w:hAnsi="Arial" w:cs="Arial"/>
                <w:b/>
                <w:color w:val="000000"/>
              </w:rPr>
              <w:t>GOÄ-Ziffer</w:t>
            </w:r>
          </w:p>
        </w:tc>
        <w:tc>
          <w:tcPr>
            <w:tcW w:w="3225" w:type="pct"/>
            <w:shd w:val="clear" w:color="auto" w:fill="0098BB"/>
          </w:tcPr>
          <w:p w14:paraId="71880E91" w14:textId="77777777" w:rsidR="00765D29" w:rsidRPr="00765D29" w:rsidRDefault="00765D29" w:rsidP="00765D2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65D29">
              <w:rPr>
                <w:rFonts w:ascii="Arial" w:hAnsi="Arial" w:cs="Arial"/>
                <w:b/>
                <w:color w:val="000000"/>
              </w:rPr>
              <w:t>Leistungsbeschreibung</w:t>
            </w:r>
          </w:p>
        </w:tc>
        <w:tc>
          <w:tcPr>
            <w:tcW w:w="573" w:type="pct"/>
            <w:shd w:val="clear" w:color="auto" w:fill="0098BB"/>
          </w:tcPr>
          <w:p w14:paraId="0BA3C08C" w14:textId="77777777" w:rsidR="00765D29" w:rsidRPr="00765D29" w:rsidRDefault="00765D29" w:rsidP="00765D2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65D29">
              <w:rPr>
                <w:rFonts w:ascii="Arial" w:hAnsi="Arial" w:cs="Arial"/>
                <w:b/>
                <w:color w:val="000000"/>
              </w:rPr>
              <w:t>Faktor</w:t>
            </w:r>
          </w:p>
        </w:tc>
        <w:tc>
          <w:tcPr>
            <w:tcW w:w="673" w:type="pct"/>
            <w:shd w:val="clear" w:color="auto" w:fill="0098BB"/>
          </w:tcPr>
          <w:p w14:paraId="241E75AE" w14:textId="77777777" w:rsidR="00765D29" w:rsidRPr="00765D29" w:rsidRDefault="00765D29" w:rsidP="00765D2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65D29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</w:tr>
      <w:tr w:rsidR="00765D29" w:rsidRPr="00765D29" w14:paraId="617BF6EC" w14:textId="77777777" w:rsidTr="00765D29">
        <w:trPr>
          <w:jc w:val="center"/>
        </w:trPr>
        <w:tc>
          <w:tcPr>
            <w:tcW w:w="529" w:type="pct"/>
          </w:tcPr>
          <w:p w14:paraId="604D35AE" w14:textId="77777777" w:rsidR="00765D29" w:rsidRPr="00765D29" w:rsidRDefault="00765D29" w:rsidP="00765D29">
            <w:pPr>
              <w:rPr>
                <w:rFonts w:ascii="Arial" w:hAnsi="Arial" w:cs="Arial"/>
                <w:color w:val="000000"/>
              </w:rPr>
            </w:pPr>
            <w:r w:rsidRPr="00765D29"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3225" w:type="pct"/>
          </w:tcPr>
          <w:p w14:paraId="0D114728" w14:textId="77777777" w:rsidR="00765D29" w:rsidRPr="00765D29" w:rsidRDefault="00765D29" w:rsidP="00765D29">
            <w:pPr>
              <w:rPr>
                <w:rFonts w:ascii="Arial" w:hAnsi="Arial" w:cs="Arial"/>
                <w:color w:val="000000"/>
              </w:rPr>
            </w:pPr>
            <w:r w:rsidRPr="00765D29">
              <w:rPr>
                <w:rFonts w:ascii="Arial" w:hAnsi="Arial" w:cs="Arial"/>
                <w:color w:val="000000"/>
              </w:rPr>
              <w:t>Infusion, subkutan</w:t>
            </w:r>
          </w:p>
          <w:p w14:paraId="6AE36F11" w14:textId="77777777" w:rsidR="00765D29" w:rsidRPr="00765D29" w:rsidRDefault="00765D29" w:rsidP="00765D29">
            <w:pPr>
              <w:rPr>
                <w:rFonts w:ascii="Arial" w:hAnsi="Arial" w:cs="Arial"/>
                <w:color w:val="000000"/>
              </w:rPr>
            </w:pPr>
            <w:r w:rsidRPr="00765D29">
              <w:rPr>
                <w:rFonts w:ascii="Arial" w:hAnsi="Arial" w:cs="Arial"/>
                <w:color w:val="000000"/>
              </w:rPr>
              <w:t>1 × am Behandlungstag</w:t>
            </w:r>
          </w:p>
        </w:tc>
        <w:tc>
          <w:tcPr>
            <w:tcW w:w="573" w:type="pct"/>
          </w:tcPr>
          <w:p w14:paraId="3228DF74" w14:textId="77777777" w:rsidR="00765D29" w:rsidRPr="00765D29" w:rsidRDefault="00765D29" w:rsidP="00765D29">
            <w:pPr>
              <w:rPr>
                <w:rFonts w:ascii="Arial" w:hAnsi="Arial" w:cs="Arial"/>
                <w:color w:val="000000"/>
              </w:rPr>
            </w:pPr>
            <w:r w:rsidRPr="00765D29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673" w:type="pct"/>
          </w:tcPr>
          <w:p w14:paraId="65113DC7" w14:textId="77777777" w:rsidR="00765D29" w:rsidRPr="00765D29" w:rsidRDefault="00765D29" w:rsidP="00765D29">
            <w:pPr>
              <w:rPr>
                <w:rFonts w:ascii="Arial" w:hAnsi="Arial" w:cs="Arial"/>
                <w:color w:val="000000"/>
              </w:rPr>
            </w:pPr>
            <w:r w:rsidRPr="00765D29">
              <w:rPr>
                <w:rFonts w:ascii="Arial" w:hAnsi="Arial" w:cs="Arial"/>
                <w:color w:val="000000"/>
              </w:rPr>
              <w:t>10,72</w:t>
            </w:r>
          </w:p>
        </w:tc>
      </w:tr>
      <w:tr w:rsidR="00765D29" w:rsidRPr="00765D29" w14:paraId="764EFE39" w14:textId="77777777" w:rsidTr="00765D29">
        <w:trPr>
          <w:jc w:val="center"/>
        </w:trPr>
        <w:tc>
          <w:tcPr>
            <w:tcW w:w="529" w:type="pct"/>
          </w:tcPr>
          <w:p w14:paraId="6BBCB0B2" w14:textId="77777777" w:rsidR="00765D29" w:rsidRPr="00765D29" w:rsidRDefault="00765D29" w:rsidP="00765D29">
            <w:pPr>
              <w:rPr>
                <w:rFonts w:ascii="Arial" w:hAnsi="Arial" w:cs="Arial"/>
                <w:color w:val="000000"/>
              </w:rPr>
            </w:pPr>
            <w:r w:rsidRPr="00765D29">
              <w:rPr>
                <w:rFonts w:ascii="Arial" w:hAnsi="Arial" w:cs="Arial"/>
                <w:color w:val="000000"/>
              </w:rPr>
              <w:t>271</w:t>
            </w:r>
          </w:p>
        </w:tc>
        <w:tc>
          <w:tcPr>
            <w:tcW w:w="3225" w:type="pct"/>
          </w:tcPr>
          <w:p w14:paraId="40D38B42" w14:textId="77777777" w:rsidR="00765D29" w:rsidRPr="00765D29" w:rsidRDefault="00765D29" w:rsidP="00765D29">
            <w:pPr>
              <w:rPr>
                <w:rFonts w:ascii="Arial" w:hAnsi="Arial" w:cs="Arial"/>
                <w:color w:val="000000"/>
              </w:rPr>
            </w:pPr>
            <w:r w:rsidRPr="00765D29">
              <w:rPr>
                <w:rFonts w:ascii="Arial" w:hAnsi="Arial" w:cs="Arial"/>
                <w:color w:val="000000"/>
              </w:rPr>
              <w:t>Infusion, intravenös, bis zu 30 Minuten Dauer</w:t>
            </w:r>
          </w:p>
          <w:p w14:paraId="0E9240B7" w14:textId="77777777" w:rsidR="00765D29" w:rsidRPr="00765D29" w:rsidRDefault="00765D29" w:rsidP="00765D29">
            <w:pPr>
              <w:rPr>
                <w:rFonts w:ascii="Arial" w:hAnsi="Arial" w:cs="Arial"/>
                <w:color w:val="000000"/>
              </w:rPr>
            </w:pPr>
            <w:r w:rsidRPr="00765D29">
              <w:rPr>
                <w:rFonts w:ascii="Arial" w:hAnsi="Arial" w:cs="Arial"/>
                <w:color w:val="000000"/>
              </w:rPr>
              <w:t>je Gefäßzugang 1 x, höchstens 2 × am Behandlungstag</w:t>
            </w:r>
          </w:p>
        </w:tc>
        <w:tc>
          <w:tcPr>
            <w:tcW w:w="573" w:type="pct"/>
          </w:tcPr>
          <w:p w14:paraId="1BC968E0" w14:textId="77777777" w:rsidR="00765D29" w:rsidRPr="00765D29" w:rsidRDefault="00765D29" w:rsidP="00765D29">
            <w:pPr>
              <w:rPr>
                <w:rFonts w:ascii="Arial" w:hAnsi="Arial" w:cs="Arial"/>
                <w:color w:val="000000"/>
              </w:rPr>
            </w:pPr>
            <w:r w:rsidRPr="00765D29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673" w:type="pct"/>
          </w:tcPr>
          <w:p w14:paraId="18C91C4A" w14:textId="77777777" w:rsidR="00765D29" w:rsidRPr="00765D29" w:rsidRDefault="00765D29" w:rsidP="00765D29">
            <w:pPr>
              <w:rPr>
                <w:rFonts w:ascii="Arial" w:hAnsi="Arial" w:cs="Arial"/>
                <w:color w:val="000000"/>
              </w:rPr>
            </w:pPr>
            <w:r w:rsidRPr="00765D29">
              <w:rPr>
                <w:rFonts w:ascii="Arial" w:hAnsi="Arial" w:cs="Arial"/>
                <w:color w:val="000000"/>
              </w:rPr>
              <w:t>16,09</w:t>
            </w:r>
          </w:p>
        </w:tc>
      </w:tr>
      <w:tr w:rsidR="00765D29" w:rsidRPr="00765D29" w14:paraId="31A37ED1" w14:textId="77777777" w:rsidTr="00765D29">
        <w:trPr>
          <w:jc w:val="center"/>
        </w:trPr>
        <w:tc>
          <w:tcPr>
            <w:tcW w:w="529" w:type="pct"/>
          </w:tcPr>
          <w:p w14:paraId="4F7BCB84" w14:textId="77777777" w:rsidR="00765D29" w:rsidRPr="00765D29" w:rsidRDefault="00765D29" w:rsidP="00765D29">
            <w:pPr>
              <w:rPr>
                <w:rFonts w:ascii="Arial" w:hAnsi="Arial" w:cs="Arial"/>
                <w:color w:val="000000"/>
              </w:rPr>
            </w:pPr>
            <w:r w:rsidRPr="00765D29">
              <w:rPr>
                <w:rFonts w:ascii="Arial" w:hAnsi="Arial" w:cs="Arial"/>
                <w:color w:val="000000"/>
              </w:rPr>
              <w:t>272</w:t>
            </w:r>
          </w:p>
        </w:tc>
        <w:tc>
          <w:tcPr>
            <w:tcW w:w="3225" w:type="pct"/>
          </w:tcPr>
          <w:p w14:paraId="5B3B55B4" w14:textId="77777777" w:rsidR="00765D29" w:rsidRPr="00765D29" w:rsidRDefault="00765D29" w:rsidP="00765D29">
            <w:pPr>
              <w:rPr>
                <w:rFonts w:ascii="Arial" w:hAnsi="Arial" w:cs="Arial"/>
                <w:color w:val="000000"/>
              </w:rPr>
            </w:pPr>
            <w:r w:rsidRPr="00765D29">
              <w:rPr>
                <w:rFonts w:ascii="Arial" w:hAnsi="Arial" w:cs="Arial"/>
                <w:color w:val="000000"/>
              </w:rPr>
              <w:t>Infusion, intravenös, von mehr als 30 Minuten Dauer</w:t>
            </w:r>
          </w:p>
          <w:p w14:paraId="0E53B090" w14:textId="77777777" w:rsidR="00765D29" w:rsidRPr="00765D29" w:rsidRDefault="00765D29" w:rsidP="00765D29">
            <w:pPr>
              <w:rPr>
                <w:rFonts w:ascii="Arial" w:hAnsi="Arial" w:cs="Arial"/>
                <w:color w:val="000000"/>
              </w:rPr>
            </w:pPr>
            <w:r w:rsidRPr="00765D29">
              <w:rPr>
                <w:rFonts w:ascii="Arial" w:hAnsi="Arial" w:cs="Arial"/>
                <w:color w:val="000000"/>
              </w:rPr>
              <w:t>je Gefäßzugang 1 x, höchstens 2 × am Behandlungstag</w:t>
            </w:r>
          </w:p>
        </w:tc>
        <w:tc>
          <w:tcPr>
            <w:tcW w:w="573" w:type="pct"/>
          </w:tcPr>
          <w:p w14:paraId="3BA93371" w14:textId="77777777" w:rsidR="00765D29" w:rsidRPr="00765D29" w:rsidRDefault="00765D29" w:rsidP="00765D29">
            <w:pPr>
              <w:rPr>
                <w:rFonts w:ascii="Arial" w:hAnsi="Arial" w:cs="Arial"/>
                <w:color w:val="000000"/>
              </w:rPr>
            </w:pPr>
            <w:r w:rsidRPr="00765D29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673" w:type="pct"/>
          </w:tcPr>
          <w:p w14:paraId="6527598E" w14:textId="77777777" w:rsidR="00765D29" w:rsidRPr="00765D29" w:rsidRDefault="00765D29" w:rsidP="00765D29">
            <w:pPr>
              <w:rPr>
                <w:rFonts w:ascii="Arial" w:hAnsi="Arial" w:cs="Arial"/>
                <w:color w:val="000000"/>
              </w:rPr>
            </w:pPr>
            <w:r w:rsidRPr="00765D29">
              <w:rPr>
                <w:rFonts w:ascii="Arial" w:hAnsi="Arial" w:cs="Arial"/>
                <w:color w:val="000000"/>
              </w:rPr>
              <w:t>24,13</w:t>
            </w:r>
          </w:p>
        </w:tc>
      </w:tr>
      <w:tr w:rsidR="00765D29" w:rsidRPr="00765D29" w14:paraId="10B73A31" w14:textId="77777777" w:rsidTr="00765D29">
        <w:trPr>
          <w:jc w:val="center"/>
        </w:trPr>
        <w:tc>
          <w:tcPr>
            <w:tcW w:w="529" w:type="pct"/>
          </w:tcPr>
          <w:p w14:paraId="6844F6C8" w14:textId="77777777" w:rsidR="00765D29" w:rsidRPr="00765D29" w:rsidRDefault="00765D29" w:rsidP="00765D29">
            <w:pPr>
              <w:rPr>
                <w:rFonts w:ascii="Arial" w:hAnsi="Arial" w:cs="Arial"/>
                <w:color w:val="000000"/>
              </w:rPr>
            </w:pPr>
            <w:r w:rsidRPr="00765D29">
              <w:rPr>
                <w:rFonts w:ascii="Arial" w:hAnsi="Arial" w:cs="Arial"/>
                <w:color w:val="000000"/>
              </w:rPr>
              <w:t>273</w:t>
            </w:r>
          </w:p>
        </w:tc>
        <w:tc>
          <w:tcPr>
            <w:tcW w:w="3225" w:type="pct"/>
          </w:tcPr>
          <w:p w14:paraId="38BC5536" w14:textId="77777777" w:rsidR="00765D29" w:rsidRPr="00765D29" w:rsidRDefault="00765D29" w:rsidP="00765D29">
            <w:pPr>
              <w:rPr>
                <w:rFonts w:ascii="Arial" w:hAnsi="Arial" w:cs="Arial"/>
                <w:color w:val="000000"/>
              </w:rPr>
            </w:pPr>
            <w:r w:rsidRPr="00765D29">
              <w:rPr>
                <w:rFonts w:ascii="Arial" w:hAnsi="Arial" w:cs="Arial"/>
                <w:color w:val="000000"/>
              </w:rPr>
              <w:t xml:space="preserve">Infusion, intravenös – ggf. mittels Nabelvenenkatheter oder in die </w:t>
            </w:r>
            <w:r w:rsidRPr="00765D29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765D29">
              <w:rPr>
                <w:rFonts w:ascii="Arial" w:hAnsi="Arial" w:cs="Arial"/>
                <w:color w:val="000000"/>
              </w:rPr>
              <w:t>Kopfvene</w:t>
            </w:r>
            <w:proofErr w:type="spellEnd"/>
            <w:r w:rsidRPr="00765D29">
              <w:rPr>
                <w:rFonts w:ascii="Arial" w:hAnsi="Arial" w:cs="Arial"/>
                <w:color w:val="000000"/>
              </w:rPr>
              <w:t xml:space="preserve"> –, bei einem Kind bis zum vollendeten 4. Lebensjahr</w:t>
            </w:r>
          </w:p>
          <w:p w14:paraId="2C1DCA71" w14:textId="77777777" w:rsidR="00765D29" w:rsidRPr="00765D29" w:rsidRDefault="00765D29" w:rsidP="00765D29">
            <w:pPr>
              <w:rPr>
                <w:rFonts w:ascii="Arial" w:hAnsi="Arial" w:cs="Arial"/>
                <w:color w:val="000000"/>
              </w:rPr>
            </w:pPr>
            <w:r w:rsidRPr="00765D29">
              <w:rPr>
                <w:rFonts w:ascii="Arial" w:hAnsi="Arial" w:cs="Arial"/>
                <w:color w:val="000000"/>
              </w:rPr>
              <w:t>1 × am Behandlungstag</w:t>
            </w:r>
          </w:p>
        </w:tc>
        <w:tc>
          <w:tcPr>
            <w:tcW w:w="573" w:type="pct"/>
          </w:tcPr>
          <w:p w14:paraId="0DEC1204" w14:textId="77777777" w:rsidR="00765D29" w:rsidRPr="00765D29" w:rsidRDefault="00765D29" w:rsidP="00765D29">
            <w:pPr>
              <w:rPr>
                <w:rFonts w:ascii="Arial" w:hAnsi="Arial" w:cs="Arial"/>
                <w:color w:val="000000"/>
              </w:rPr>
            </w:pPr>
            <w:r w:rsidRPr="00765D29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673" w:type="pct"/>
          </w:tcPr>
          <w:p w14:paraId="347BE970" w14:textId="77777777" w:rsidR="00765D29" w:rsidRPr="00765D29" w:rsidRDefault="00765D29" w:rsidP="00765D29">
            <w:pPr>
              <w:rPr>
                <w:rFonts w:ascii="Arial" w:hAnsi="Arial" w:cs="Arial"/>
                <w:color w:val="000000"/>
              </w:rPr>
            </w:pPr>
            <w:r w:rsidRPr="00765D29">
              <w:rPr>
                <w:rFonts w:ascii="Arial" w:hAnsi="Arial" w:cs="Arial"/>
                <w:color w:val="000000"/>
              </w:rPr>
              <w:t>24,13</w:t>
            </w:r>
          </w:p>
        </w:tc>
      </w:tr>
      <w:tr w:rsidR="00765D29" w:rsidRPr="00765D29" w14:paraId="608C18EF" w14:textId="77777777" w:rsidTr="00765D29">
        <w:trPr>
          <w:jc w:val="center"/>
        </w:trPr>
        <w:tc>
          <w:tcPr>
            <w:tcW w:w="529" w:type="pct"/>
          </w:tcPr>
          <w:p w14:paraId="60402EBC" w14:textId="77777777" w:rsidR="00765D29" w:rsidRPr="00765D29" w:rsidRDefault="00765D29" w:rsidP="00765D29">
            <w:pPr>
              <w:rPr>
                <w:rFonts w:ascii="Arial" w:hAnsi="Arial" w:cs="Arial"/>
                <w:color w:val="000000"/>
              </w:rPr>
            </w:pPr>
            <w:r w:rsidRPr="00765D29">
              <w:rPr>
                <w:rFonts w:ascii="Arial" w:hAnsi="Arial" w:cs="Arial"/>
                <w:color w:val="000000"/>
              </w:rPr>
              <w:t>274</w:t>
            </w:r>
          </w:p>
        </w:tc>
        <w:tc>
          <w:tcPr>
            <w:tcW w:w="3225" w:type="pct"/>
          </w:tcPr>
          <w:p w14:paraId="194DC056" w14:textId="77777777" w:rsidR="00765D29" w:rsidRPr="00765D29" w:rsidRDefault="00765D29" w:rsidP="00765D29">
            <w:pPr>
              <w:rPr>
                <w:rFonts w:ascii="Arial" w:hAnsi="Arial" w:cs="Arial"/>
                <w:color w:val="000000"/>
              </w:rPr>
            </w:pPr>
            <w:r w:rsidRPr="00765D29">
              <w:rPr>
                <w:rFonts w:ascii="Arial" w:hAnsi="Arial" w:cs="Arial"/>
                <w:color w:val="000000"/>
              </w:rPr>
              <w:t>Dauertropfinfusion, intravenös, von mehr als 6 Stunden – ggf. einschließlich Infusionsplan und Bilanzierung</w:t>
            </w:r>
          </w:p>
          <w:p w14:paraId="56D85525" w14:textId="77777777" w:rsidR="00765D29" w:rsidRPr="00765D29" w:rsidRDefault="00765D29" w:rsidP="00765D29">
            <w:pPr>
              <w:rPr>
                <w:rFonts w:ascii="Arial" w:hAnsi="Arial" w:cs="Arial"/>
                <w:color w:val="000000"/>
              </w:rPr>
            </w:pPr>
            <w:r w:rsidRPr="00765D29">
              <w:rPr>
                <w:rFonts w:ascii="Arial" w:hAnsi="Arial" w:cs="Arial"/>
                <w:color w:val="000000"/>
              </w:rPr>
              <w:t>1 × am Behandlungstag</w:t>
            </w:r>
          </w:p>
        </w:tc>
        <w:tc>
          <w:tcPr>
            <w:tcW w:w="573" w:type="pct"/>
          </w:tcPr>
          <w:p w14:paraId="4447453B" w14:textId="77777777" w:rsidR="00765D29" w:rsidRPr="00765D29" w:rsidRDefault="00765D29" w:rsidP="00765D29">
            <w:pPr>
              <w:rPr>
                <w:rFonts w:ascii="Arial" w:hAnsi="Arial" w:cs="Arial"/>
                <w:color w:val="000000"/>
              </w:rPr>
            </w:pPr>
            <w:r w:rsidRPr="00765D29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673" w:type="pct"/>
          </w:tcPr>
          <w:p w14:paraId="7D37CBA3" w14:textId="77777777" w:rsidR="00765D29" w:rsidRPr="00765D29" w:rsidRDefault="00765D29" w:rsidP="00765D29">
            <w:pPr>
              <w:rPr>
                <w:rFonts w:ascii="Arial" w:hAnsi="Arial" w:cs="Arial"/>
                <w:color w:val="000000"/>
              </w:rPr>
            </w:pPr>
            <w:r w:rsidRPr="00765D29">
              <w:rPr>
                <w:rFonts w:ascii="Arial" w:hAnsi="Arial" w:cs="Arial"/>
                <w:color w:val="000000"/>
              </w:rPr>
              <w:t>42,90</w:t>
            </w:r>
          </w:p>
        </w:tc>
      </w:tr>
      <w:tr w:rsidR="00765D29" w:rsidRPr="00765D29" w14:paraId="5C02C02F" w14:textId="77777777" w:rsidTr="00765D29">
        <w:trPr>
          <w:jc w:val="center"/>
        </w:trPr>
        <w:tc>
          <w:tcPr>
            <w:tcW w:w="5000" w:type="pct"/>
            <w:gridSpan w:val="4"/>
          </w:tcPr>
          <w:p w14:paraId="79A5783D" w14:textId="77777777" w:rsidR="00765D29" w:rsidRPr="00765D29" w:rsidRDefault="00765D29" w:rsidP="00765D29">
            <w:pPr>
              <w:rPr>
                <w:rFonts w:ascii="Arial" w:hAnsi="Arial" w:cs="Arial"/>
                <w:color w:val="000000"/>
              </w:rPr>
            </w:pPr>
            <w:r w:rsidRPr="00765D29">
              <w:rPr>
                <w:rFonts w:ascii="Arial" w:hAnsi="Arial" w:cs="Arial"/>
                <w:b/>
                <w:bCs/>
                <w:color w:val="000000"/>
              </w:rPr>
              <w:t>Wichtig:</w:t>
            </w:r>
            <w:r w:rsidRPr="00765D29">
              <w:rPr>
                <w:rFonts w:ascii="Arial" w:hAnsi="Arial" w:cs="Arial"/>
                <w:color w:val="000000"/>
              </w:rPr>
              <w:t xml:space="preserve"> Eine Nebeneinanderabrechnung dieser Ziffern im Rahmen desselben Arzt-Patienten-Kontakts (Sitzung) ist ausgeschlossen.</w:t>
            </w:r>
          </w:p>
        </w:tc>
      </w:tr>
    </w:tbl>
    <w:p w14:paraId="7CFF1F5B" w14:textId="77777777" w:rsidR="00765D29" w:rsidRPr="0045616A" w:rsidRDefault="00765D29" w:rsidP="00ED2BFA">
      <w:pPr>
        <w:rPr>
          <w:rFonts w:ascii="Arial" w:hAnsi="Arial" w:cs="Arial"/>
          <w:color w:val="000000"/>
        </w:rPr>
      </w:pPr>
    </w:p>
    <w:sectPr w:rsidR="00765D29" w:rsidRPr="0045616A" w:rsidSect="0045616A">
      <w:footerReference w:type="default" r:id="rId8"/>
      <w:pgSz w:w="11906" w:h="16838"/>
      <w:pgMar w:top="1135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510D8030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04554A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DD6EA2"/>
    <w:multiLevelType w:val="hybridMultilevel"/>
    <w:tmpl w:val="252A3C4A"/>
    <w:lvl w:ilvl="0" w:tplc="F23803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E0ED8"/>
    <w:multiLevelType w:val="hybridMultilevel"/>
    <w:tmpl w:val="48683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6"/>
  </w:num>
  <w:num w:numId="3" w16cid:durableId="2116976203">
    <w:abstractNumId w:val="44"/>
  </w:num>
  <w:num w:numId="4" w16cid:durableId="832838488">
    <w:abstractNumId w:val="34"/>
  </w:num>
  <w:num w:numId="5" w16cid:durableId="1588537969">
    <w:abstractNumId w:val="45"/>
  </w:num>
  <w:num w:numId="6" w16cid:durableId="260920476">
    <w:abstractNumId w:val="2"/>
  </w:num>
  <w:num w:numId="7" w16cid:durableId="1182429349">
    <w:abstractNumId w:val="13"/>
  </w:num>
  <w:num w:numId="8" w16cid:durableId="1010260152">
    <w:abstractNumId w:val="31"/>
  </w:num>
  <w:num w:numId="9" w16cid:durableId="445925824">
    <w:abstractNumId w:val="23"/>
  </w:num>
  <w:num w:numId="10" w16cid:durableId="1640957786">
    <w:abstractNumId w:val="7"/>
  </w:num>
  <w:num w:numId="11" w16cid:durableId="1380325484">
    <w:abstractNumId w:val="36"/>
  </w:num>
  <w:num w:numId="12" w16cid:durableId="595942327">
    <w:abstractNumId w:val="40"/>
  </w:num>
  <w:num w:numId="13" w16cid:durableId="395322060">
    <w:abstractNumId w:val="3"/>
  </w:num>
  <w:num w:numId="14" w16cid:durableId="1299072314">
    <w:abstractNumId w:val="14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10"/>
  </w:num>
  <w:num w:numId="18" w16cid:durableId="1035692441">
    <w:abstractNumId w:val="25"/>
  </w:num>
  <w:num w:numId="19" w16cid:durableId="992371779">
    <w:abstractNumId w:val="22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8"/>
  </w:num>
  <w:num w:numId="24" w16cid:durableId="1393308948">
    <w:abstractNumId w:val="43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7"/>
  </w:num>
  <w:num w:numId="28" w16cid:durableId="1185706464">
    <w:abstractNumId w:val="41"/>
  </w:num>
  <w:num w:numId="29" w16cid:durableId="1659728008">
    <w:abstractNumId w:val="33"/>
  </w:num>
  <w:num w:numId="30" w16cid:durableId="572542196">
    <w:abstractNumId w:val="18"/>
  </w:num>
  <w:num w:numId="31" w16cid:durableId="148442356">
    <w:abstractNumId w:val="12"/>
  </w:num>
  <w:num w:numId="32" w16cid:durableId="1616058808">
    <w:abstractNumId w:val="11"/>
  </w:num>
  <w:num w:numId="33" w16cid:durableId="1225608594">
    <w:abstractNumId w:val="15"/>
  </w:num>
  <w:num w:numId="34" w16cid:durableId="328365384">
    <w:abstractNumId w:val="39"/>
  </w:num>
  <w:num w:numId="35" w16cid:durableId="677853825">
    <w:abstractNumId w:val="32"/>
  </w:num>
  <w:num w:numId="36" w16cid:durableId="1131747035">
    <w:abstractNumId w:val="20"/>
  </w:num>
  <w:num w:numId="37" w16cid:durableId="1960994142">
    <w:abstractNumId w:val="29"/>
  </w:num>
  <w:num w:numId="38" w16cid:durableId="92407900">
    <w:abstractNumId w:val="42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6"/>
  </w:num>
  <w:num w:numId="44" w16cid:durableId="1885287902">
    <w:abstractNumId w:val="30"/>
  </w:num>
  <w:num w:numId="45" w16cid:durableId="700395326">
    <w:abstractNumId w:val="9"/>
  </w:num>
  <w:num w:numId="46" w16cid:durableId="13330257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4554A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73FDB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5616A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65D29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20FB2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316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6675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45616A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45616A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45616A"/>
    <w:rPr>
      <w:rFonts w:eastAsia="Calibri"/>
      <w:sz w:val="18"/>
      <w:szCs w:val="18"/>
      <w:lang w:eastAsia="en-US"/>
    </w:rPr>
  </w:style>
  <w:style w:type="character" w:styleId="SchwacheHervorhebung">
    <w:name w:val="Subtle Emphasis"/>
    <w:uiPriority w:val="19"/>
    <w:qFormat/>
    <w:rsid w:val="00920FB2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2025-08-24T16:40:00Z</dcterms:created>
  <dcterms:modified xsi:type="dcterms:W3CDTF">2025-08-24T16:40:00Z</dcterms:modified>
</cp:coreProperties>
</file>