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A76595" w14:textId="77777777" w:rsidR="002A5D13" w:rsidRDefault="007A7CA7" w:rsidP="0094172F">
      <w:pPr>
        <w:tabs>
          <w:tab w:val="left" w:pos="5280"/>
          <w:tab w:val="right" w:pos="9070"/>
        </w:tabs>
        <w:rPr>
          <w:b/>
          <w:noProof/>
          <w:lang w:eastAsia="de-DE"/>
        </w:rPr>
      </w:pPr>
      <w:r>
        <w:rPr>
          <w:b/>
          <w:noProof/>
          <w:lang w:eastAsia="de-DE"/>
        </w:rPr>
        <w:tab/>
      </w:r>
      <w:r w:rsidR="0094172F">
        <w:rPr>
          <w:b/>
          <w:noProof/>
          <w:lang w:eastAsia="de-DE"/>
        </w:rPr>
        <w:tab/>
      </w:r>
    </w:p>
    <w:p w14:paraId="61F0E915" w14:textId="77777777" w:rsidR="00C73E1A" w:rsidRDefault="007A7CA7" w:rsidP="00E353A3">
      <w:pPr>
        <w:tabs>
          <w:tab w:val="left" w:pos="1665"/>
          <w:tab w:val="left" w:pos="2430"/>
          <w:tab w:val="left" w:pos="4185"/>
          <w:tab w:val="left" w:pos="6900"/>
        </w:tabs>
      </w:pPr>
      <w:r>
        <w:tab/>
      </w:r>
      <w:r w:rsidR="00E353A3">
        <w:tab/>
      </w:r>
      <w:r>
        <w:tab/>
      </w:r>
      <w:r w:rsidR="00B707AF">
        <w:tab/>
      </w:r>
    </w:p>
    <w:p w14:paraId="0A93EE12" w14:textId="7336A3D6" w:rsidR="007A7CA7" w:rsidRDefault="006E18EF" w:rsidP="0066479A">
      <w:pPr>
        <w:tabs>
          <w:tab w:val="left" w:pos="2430"/>
        </w:tabs>
      </w:pPr>
      <w:r>
        <w:tab/>
      </w:r>
    </w:p>
    <w:p w14:paraId="681E9511" w14:textId="77777777" w:rsidR="00714F07" w:rsidRDefault="00714F07" w:rsidP="00714F07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p w14:paraId="5C4B9039" w14:textId="77777777" w:rsidR="00A17095" w:rsidRDefault="00A17095" w:rsidP="00714F07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p w14:paraId="525FCE21" w14:textId="77777777" w:rsidR="00A17095" w:rsidRDefault="00A17095" w:rsidP="00714F07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tbl>
      <w:tblPr>
        <w:tblW w:w="991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918"/>
      </w:tblGrid>
      <w:tr w:rsidR="00A17095" w:rsidRPr="00A17095" w14:paraId="5460F423" w14:textId="77777777" w:rsidTr="006B5989">
        <w:tblPrEx>
          <w:tblCellMar>
            <w:top w:w="0" w:type="dxa"/>
            <w:bottom w:w="0" w:type="dxa"/>
          </w:tblCellMar>
        </w:tblPrEx>
        <w:trPr>
          <w:trHeight w:val="256"/>
          <w:jc w:val="center"/>
        </w:trPr>
        <w:tc>
          <w:tcPr>
            <w:tcW w:w="9918" w:type="dxa"/>
            <w:shd w:val="clear" w:color="auto" w:fill="006793"/>
          </w:tcPr>
          <w:p w14:paraId="0D3C10E6" w14:textId="60A44BBE" w:rsidR="00A17095" w:rsidRPr="00A17095" w:rsidRDefault="00086146" w:rsidP="00A17095">
            <w:pPr>
              <w:spacing w:before="120" w:after="120"/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</w:pPr>
            <w:r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Übersicht: </w:t>
            </w:r>
            <w:r w:rsidR="006B5989" w:rsidRPr="006B5989">
              <w:rPr>
                <w:rFonts w:ascii="Arial" w:hAnsi="Arial" w:cs="Arial"/>
                <w:b/>
                <w:color w:val="FFFFFF" w:themeColor="background1"/>
                <w:sz w:val="28"/>
                <w:szCs w:val="28"/>
              </w:rPr>
              <w:t xml:space="preserve">Möglichkeiten im Umgang mit einem drohenden Fahrverbot </w:t>
            </w:r>
          </w:p>
        </w:tc>
      </w:tr>
      <w:tr w:rsidR="00086146" w:rsidRPr="00A17095" w14:paraId="46ACCA08" w14:textId="77777777" w:rsidTr="006B5989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9918" w:type="dxa"/>
            <w:shd w:val="clear" w:color="auto" w:fill="FCCBA2"/>
          </w:tcPr>
          <w:p w14:paraId="562E3B7B" w14:textId="24820849" w:rsidR="00086146" w:rsidRPr="006B5989" w:rsidRDefault="006B5989" w:rsidP="006B5989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B598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1. Einspruch einlegen </w:t>
            </w:r>
          </w:p>
        </w:tc>
      </w:tr>
      <w:tr w:rsidR="006B5989" w:rsidRPr="00A17095" w14:paraId="1BC44333" w14:textId="77777777" w:rsidTr="006B5989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9918" w:type="dxa"/>
          </w:tcPr>
          <w:p w14:paraId="6DEC429C" w14:textId="7788BA5D" w:rsidR="006B5989" w:rsidRPr="006B5989" w:rsidRDefault="006B5989" w:rsidP="006B5989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B598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Vor allem bei Rotlichtverstößen oder unklarer Be</w:t>
            </w:r>
            <w:r w:rsidRPr="006B5989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weislage kann ein Einspruch sinnvoll sein. Ein An</w:t>
            </w:r>
            <w:r w:rsidRPr="006B5989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walt kann prüfen, ob das Fahrverbot rechtlich halt</w:t>
            </w:r>
            <w:r w:rsidRPr="006B5989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bar ist. In vielen Fällen lässt sich ein Fahrverbot abwenden, auch wenn eine Geldstrafe bestehen bleibt. </w:t>
            </w:r>
          </w:p>
        </w:tc>
      </w:tr>
      <w:tr w:rsidR="006B5989" w:rsidRPr="00A17095" w14:paraId="48552AF9" w14:textId="77777777" w:rsidTr="006B5989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9918" w:type="dxa"/>
            <w:shd w:val="clear" w:color="auto" w:fill="FCCBA2"/>
          </w:tcPr>
          <w:p w14:paraId="2A097834" w14:textId="176B153B" w:rsidR="006B5989" w:rsidRPr="006B5989" w:rsidRDefault="006B5989" w:rsidP="006B5989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B598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2. Umwandlung in erhöhte Geldstrafe beantragen </w:t>
            </w:r>
          </w:p>
        </w:tc>
      </w:tr>
      <w:tr w:rsidR="006B5989" w:rsidRPr="00A17095" w14:paraId="78995AD4" w14:textId="77777777" w:rsidTr="006B5989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9918" w:type="dxa"/>
          </w:tcPr>
          <w:p w14:paraId="664823FC" w14:textId="15606C5D" w:rsidR="006B5989" w:rsidRPr="006B5989" w:rsidRDefault="006B5989" w:rsidP="006B5989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B598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Wird das Fahrverbot zum ersten Mal verhängt und besteht eine berufliche Abhängigkeit vom Führer</w:t>
            </w:r>
            <w:r w:rsidRPr="006B5989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schein, kann beantragt werden, das Fahrverbot gegen eine höhere Geldbuße aufzuheben. Vor</w:t>
            </w:r>
            <w:r w:rsidRPr="006B5989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aussetzung ist ein glaubhaft gemachter Härtefall. Hierbei unterstützen Sie Ihre Mitarbeitenden am besten mit einer schriftlichen Arbeitgeberbeschei</w:t>
            </w:r>
            <w:r w:rsidRPr="006B5989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nigung. </w:t>
            </w:r>
          </w:p>
        </w:tc>
      </w:tr>
      <w:tr w:rsidR="006B5989" w:rsidRPr="00A17095" w14:paraId="501CDB14" w14:textId="77777777" w:rsidTr="006B5989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9918" w:type="dxa"/>
            <w:shd w:val="clear" w:color="auto" w:fill="FCCBA2"/>
          </w:tcPr>
          <w:p w14:paraId="57FE4152" w14:textId="456B216C" w:rsidR="006B5989" w:rsidRPr="006B5989" w:rsidRDefault="006B5989" w:rsidP="006B5989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B598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3. Urlaub, Überstunden oder Sonderregelung nutzen </w:t>
            </w:r>
          </w:p>
        </w:tc>
      </w:tr>
      <w:tr w:rsidR="006B5989" w:rsidRPr="00A17095" w14:paraId="4F301882" w14:textId="77777777" w:rsidTr="006B5989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9918" w:type="dxa"/>
          </w:tcPr>
          <w:p w14:paraId="30B5F2CB" w14:textId="741150DB" w:rsidR="006B5989" w:rsidRPr="006B5989" w:rsidRDefault="006B5989" w:rsidP="006B5989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B598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Ist das Fahrverbot nicht vermeidbar, können Sie gemeinsam nach Ausgleichsmöglichkeiten su</w:t>
            </w:r>
            <w:r w:rsidRPr="006B5989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chen: z. B. bezahlter Urlaub, Abbau von Überstun</w:t>
            </w:r>
            <w:r w:rsidRPr="006B5989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den oder Aufbau von Minusstunden mit späterem Ausgleich. Auch ein unbezahlter Sonderurlaub ist möglich. </w:t>
            </w:r>
          </w:p>
        </w:tc>
      </w:tr>
      <w:tr w:rsidR="006B5989" w:rsidRPr="00A17095" w14:paraId="31DC4469" w14:textId="77777777" w:rsidTr="006B5989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9918" w:type="dxa"/>
            <w:shd w:val="clear" w:color="auto" w:fill="FCCBA2"/>
          </w:tcPr>
          <w:p w14:paraId="438DCC1D" w14:textId="485E09E1" w:rsidR="006B5989" w:rsidRPr="006B5989" w:rsidRDefault="006B5989" w:rsidP="006B5989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B598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4. Alternative Einsatzmöglichkeiten schaffen </w:t>
            </w:r>
          </w:p>
        </w:tc>
      </w:tr>
      <w:tr w:rsidR="006B5989" w:rsidRPr="00A17095" w14:paraId="39F65B5B" w14:textId="77777777" w:rsidTr="006B5989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9918" w:type="dxa"/>
          </w:tcPr>
          <w:p w14:paraId="61FCCAA1" w14:textId="79303D1E" w:rsidR="006B5989" w:rsidRPr="006B5989" w:rsidRDefault="006B5989" w:rsidP="006B5989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B598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Mitarbeiter im Fahrverbot können z. B. bei der Tourenplanung, in der Dokumentation, der Tele</w:t>
            </w:r>
            <w:r w:rsidRPr="006B5989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 xml:space="preserve">fonberatung oder für organisatorische Aufgaben eingesetzt werden. </w:t>
            </w:r>
          </w:p>
        </w:tc>
      </w:tr>
      <w:tr w:rsidR="006B5989" w:rsidRPr="00A17095" w14:paraId="2BC593CF" w14:textId="77777777" w:rsidTr="006B5989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9918" w:type="dxa"/>
            <w:shd w:val="clear" w:color="auto" w:fill="FCCBA2"/>
          </w:tcPr>
          <w:p w14:paraId="49465F5F" w14:textId="321EAB10" w:rsidR="006B5989" w:rsidRPr="006B5989" w:rsidRDefault="006B5989" w:rsidP="006B5989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B5989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5. Alternative Transportmittel nutzen </w:t>
            </w:r>
          </w:p>
        </w:tc>
      </w:tr>
      <w:tr w:rsidR="006B5989" w:rsidRPr="00A17095" w14:paraId="503F5470" w14:textId="77777777" w:rsidTr="006B5989">
        <w:tblPrEx>
          <w:tblCellMar>
            <w:top w:w="0" w:type="dxa"/>
            <w:bottom w:w="0" w:type="dxa"/>
          </w:tblCellMar>
        </w:tblPrEx>
        <w:trPr>
          <w:trHeight w:val="77"/>
          <w:jc w:val="center"/>
        </w:trPr>
        <w:tc>
          <w:tcPr>
            <w:tcW w:w="9918" w:type="dxa"/>
          </w:tcPr>
          <w:p w14:paraId="5F941D92" w14:textId="49B91249" w:rsidR="006B5989" w:rsidRPr="006B5989" w:rsidRDefault="006B5989" w:rsidP="006B5989">
            <w:pPr>
              <w:spacing w:before="120" w:after="120"/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6B5989">
              <w:rPr>
                <w:rFonts w:ascii="Arial" w:hAnsi="Arial" w:cs="Arial"/>
                <w:bCs/>
                <w:color w:val="000000"/>
                <w:sz w:val="24"/>
                <w:szCs w:val="24"/>
              </w:rPr>
              <w:t>Gerade im innerstädtischen Bereich können Pfle</w:t>
            </w:r>
            <w:r w:rsidRPr="006B5989">
              <w:rPr>
                <w:rFonts w:ascii="Arial" w:hAnsi="Arial" w:cs="Arial"/>
                <w:bCs/>
                <w:color w:val="000000"/>
                <w:sz w:val="24"/>
                <w:szCs w:val="24"/>
              </w:rPr>
              <w:softHyphen/>
              <w:t>gekräfte auch ohne Auto mobil bleiben: mit dem E-Bike, einem Dienstfahrrad oder per ÖPNV. Oder Sie besetzen 2er-Teams.</w:t>
            </w:r>
          </w:p>
        </w:tc>
      </w:tr>
    </w:tbl>
    <w:p w14:paraId="31757846" w14:textId="77777777" w:rsidR="00A17095" w:rsidRDefault="00A17095" w:rsidP="00714F07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p w14:paraId="3CF082BB" w14:textId="77777777" w:rsidR="00086146" w:rsidRDefault="00086146" w:rsidP="00714F07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p w14:paraId="6F49E57B" w14:textId="77777777" w:rsidR="00086146" w:rsidRDefault="00086146" w:rsidP="00714F07">
      <w:pPr>
        <w:spacing w:before="120" w:after="120"/>
        <w:rPr>
          <w:rFonts w:ascii="Arial" w:hAnsi="Arial" w:cs="Arial"/>
          <w:bCs/>
          <w:color w:val="000000"/>
          <w:sz w:val="24"/>
          <w:szCs w:val="24"/>
        </w:rPr>
      </w:pPr>
    </w:p>
    <w:sectPr w:rsidR="00086146" w:rsidSect="00496C3D">
      <w:headerReference w:type="default" r:id="rId9"/>
      <w:pgSz w:w="11906" w:h="16838" w:code="9"/>
      <w:pgMar w:top="-576" w:right="1418" w:bottom="28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1060F1" w14:textId="77777777" w:rsidR="0045558D" w:rsidRDefault="0045558D" w:rsidP="002A5D13">
      <w:pPr>
        <w:spacing w:after="0" w:line="240" w:lineRule="auto"/>
      </w:pPr>
      <w:r>
        <w:separator/>
      </w:r>
    </w:p>
  </w:endnote>
  <w:endnote w:type="continuationSeparator" w:id="0">
    <w:p w14:paraId="67C68370" w14:textId="77777777" w:rsidR="0045558D" w:rsidRDefault="0045558D" w:rsidP="002A5D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F29606" w14:textId="77777777" w:rsidR="0045558D" w:rsidRDefault="0045558D" w:rsidP="002A5D13">
      <w:pPr>
        <w:spacing w:after="0" w:line="240" w:lineRule="auto"/>
      </w:pPr>
      <w:r>
        <w:separator/>
      </w:r>
    </w:p>
  </w:footnote>
  <w:footnote w:type="continuationSeparator" w:id="0">
    <w:p w14:paraId="2E80517C" w14:textId="77777777" w:rsidR="0045558D" w:rsidRDefault="0045558D" w:rsidP="002A5D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533" w:type="pct"/>
      <w:jc w:val="center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143"/>
      <w:gridCol w:w="6080"/>
    </w:tblGrid>
    <w:tr w:rsidR="00E26939" w14:paraId="50FE07F4" w14:textId="77777777" w:rsidTr="00E26939">
      <w:trPr>
        <w:trHeight w:val="778"/>
        <w:jc w:val="center"/>
      </w:trPr>
      <w:tc>
        <w:tcPr>
          <w:tcW w:w="1303" w:type="pct"/>
          <w:tcBorders>
            <w:bottom w:val="single" w:sz="4" w:space="0" w:color="auto"/>
          </w:tcBorders>
          <w:shd w:val="clear" w:color="auto" w:fill="006793"/>
          <w:vAlign w:val="center"/>
        </w:tcPr>
        <w:p w14:paraId="6ABA9FFE" w14:textId="0E8879D4" w:rsidR="007A7CA7" w:rsidRPr="007A7CA7" w:rsidRDefault="009908DD" w:rsidP="00332CA1">
          <w:pPr>
            <w:pStyle w:val="Kopfzeile"/>
            <w:jc w:val="center"/>
            <w:rPr>
              <w:b/>
              <w:color w:val="FFFFFF"/>
            </w:rPr>
          </w:pPr>
          <w:r>
            <w:rPr>
              <w:b/>
              <w:color w:val="FFFFFF"/>
              <w:sz w:val="24"/>
            </w:rPr>
            <w:t xml:space="preserve">Ausgabe </w:t>
          </w:r>
          <w:r w:rsidR="001B2F98">
            <w:rPr>
              <w:b/>
              <w:color w:val="FFFFFF"/>
              <w:sz w:val="24"/>
            </w:rPr>
            <w:t>1</w:t>
          </w:r>
          <w:r w:rsidR="009A32EA">
            <w:rPr>
              <w:b/>
              <w:color w:val="FFFFFF"/>
              <w:sz w:val="24"/>
            </w:rPr>
            <w:t>7</w:t>
          </w:r>
          <w:r>
            <w:rPr>
              <w:b/>
              <w:color w:val="FFFFFF"/>
              <w:sz w:val="24"/>
            </w:rPr>
            <w:t xml:space="preserve"> - 20</w:t>
          </w:r>
          <w:r w:rsidR="0066479A">
            <w:rPr>
              <w:b/>
              <w:color w:val="FFFFFF"/>
              <w:sz w:val="24"/>
            </w:rPr>
            <w:t>2</w:t>
          </w:r>
          <w:r w:rsidR="00AB1A45">
            <w:rPr>
              <w:b/>
              <w:color w:val="FFFFFF"/>
              <w:sz w:val="24"/>
            </w:rPr>
            <w:t>5</w:t>
          </w:r>
        </w:p>
      </w:tc>
      <w:tc>
        <w:tcPr>
          <w:tcW w:w="3697" w:type="pct"/>
          <w:tcBorders>
            <w:bottom w:val="single" w:sz="4" w:space="0" w:color="auto"/>
          </w:tcBorders>
          <w:vAlign w:val="bottom"/>
        </w:tcPr>
        <w:p w14:paraId="44497443" w14:textId="1243A0FE" w:rsidR="008522CE" w:rsidRPr="00EC24AC" w:rsidRDefault="00E26939" w:rsidP="007A7CA7">
          <w:pPr>
            <w:pStyle w:val="Kopfzeile"/>
            <w:rPr>
              <w:b/>
              <w:bCs/>
              <w:color w:val="808080"/>
              <w:sz w:val="16"/>
            </w:rPr>
          </w:pPr>
          <w:r w:rsidRPr="00E26939">
            <w:rPr>
              <w:b/>
              <w:bCs/>
              <w:noProof/>
              <w:color w:val="808080"/>
              <w:sz w:val="16"/>
            </w:rPr>
            <w:drawing>
              <wp:inline distT="0" distB="0" distL="0" distR="0" wp14:anchorId="4783F488" wp14:editId="591378E4">
                <wp:extent cx="3714750" cy="883840"/>
                <wp:effectExtent l="0" t="0" r="0" b="0"/>
                <wp:docPr id="522481502" name="Grafik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522481502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809616" cy="90641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ED1B152" w14:textId="77777777" w:rsidR="007A7CA7" w:rsidRDefault="007A7CA7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0"/>
    <w:multiLevelType w:val="singleLevel"/>
    <w:tmpl w:val="627249D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BFE4338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E95284A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811EDFB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62668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4624C95"/>
    <w:multiLevelType w:val="hybridMultilevel"/>
    <w:tmpl w:val="834EF17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E95869"/>
    <w:multiLevelType w:val="hybridMultilevel"/>
    <w:tmpl w:val="E97E055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E443233"/>
    <w:multiLevelType w:val="hybridMultilevel"/>
    <w:tmpl w:val="33B88B2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127CBB"/>
    <w:multiLevelType w:val="hybridMultilevel"/>
    <w:tmpl w:val="C32E3AF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3B0040"/>
    <w:multiLevelType w:val="hybridMultilevel"/>
    <w:tmpl w:val="72301DBA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98D7D93"/>
    <w:multiLevelType w:val="hybridMultilevel"/>
    <w:tmpl w:val="A1F49D82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C644C20"/>
    <w:multiLevelType w:val="hybridMultilevel"/>
    <w:tmpl w:val="5DCA96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2BD294"/>
    <w:multiLevelType w:val="multilevel"/>
    <w:tmpl w:val="512BD294"/>
    <w:name w:val="Nummerierungsliste 6"/>
    <w:lvl w:ilvl="0">
      <w:numFmt w:val="bullet"/>
      <w:lvlText w:val=""/>
      <w:lvlJc w:val="left"/>
      <w:rPr>
        <w:rFonts w:ascii="Symbol" w:hAnsi="Symbol"/>
      </w:rPr>
    </w:lvl>
    <w:lvl w:ilvl="1">
      <w:numFmt w:val="bullet"/>
      <w:lvlText w:val="o"/>
      <w:lvlJc w:val="left"/>
      <w:rPr>
        <w:rFonts w:ascii="Courier New" w:hAnsi="Courier New"/>
      </w:rPr>
    </w:lvl>
    <w:lvl w:ilvl="2">
      <w:numFmt w:val="bullet"/>
      <w:lvlText w:val=""/>
      <w:lvlJc w:val="left"/>
      <w:rPr>
        <w:rFonts w:ascii="Wingdings" w:hAnsi="Wingdings"/>
      </w:rPr>
    </w:lvl>
    <w:lvl w:ilvl="3">
      <w:numFmt w:val="bullet"/>
      <w:lvlText w:val=""/>
      <w:lvlJc w:val="left"/>
      <w:rPr>
        <w:rFonts w:ascii="Symbol" w:hAnsi="Symbol"/>
      </w:rPr>
    </w:lvl>
    <w:lvl w:ilvl="4">
      <w:numFmt w:val="bullet"/>
      <w:lvlText w:val="o"/>
      <w:lvlJc w:val="left"/>
      <w:rPr>
        <w:rFonts w:ascii="Courier New" w:hAnsi="Courier New"/>
      </w:rPr>
    </w:lvl>
    <w:lvl w:ilvl="5">
      <w:numFmt w:val="bullet"/>
      <w:lvlText w:val=""/>
      <w:lvlJc w:val="left"/>
      <w:rPr>
        <w:rFonts w:ascii="Wingdings" w:hAnsi="Wingdings"/>
      </w:rPr>
    </w:lvl>
    <w:lvl w:ilvl="6">
      <w:numFmt w:val="bullet"/>
      <w:lvlText w:val=""/>
      <w:lvlJc w:val="left"/>
      <w:rPr>
        <w:rFonts w:ascii="Symbol" w:hAnsi="Symbol"/>
      </w:rPr>
    </w:lvl>
    <w:lvl w:ilvl="7">
      <w:numFmt w:val="bullet"/>
      <w:lvlText w:val="o"/>
      <w:lvlJc w:val="left"/>
      <w:rPr>
        <w:rFonts w:ascii="Courier New" w:hAnsi="Courier New"/>
      </w:rPr>
    </w:lvl>
    <w:lvl w:ilvl="8">
      <w:numFmt w:val="bullet"/>
      <w:lvlText w:val=""/>
      <w:lvlJc w:val="left"/>
      <w:rPr>
        <w:rFonts w:ascii="Wingdings" w:hAnsi="Wingdings"/>
      </w:rPr>
    </w:lvl>
  </w:abstractNum>
  <w:abstractNum w:abstractNumId="13" w15:restartNumberingAfterBreak="0">
    <w:nsid w:val="51862F0E"/>
    <w:multiLevelType w:val="multilevel"/>
    <w:tmpl w:val="51862F0E"/>
    <w:name w:val="Nummerierungsliste 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4" w15:restartNumberingAfterBreak="0">
    <w:nsid w:val="51862F0F"/>
    <w:multiLevelType w:val="multilevel"/>
    <w:tmpl w:val="51862F0F"/>
    <w:name w:val="Nummerierungsliste 3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5" w15:restartNumberingAfterBreak="0">
    <w:nsid w:val="51862F10"/>
    <w:multiLevelType w:val="multilevel"/>
    <w:tmpl w:val="51862F10"/>
    <w:name w:val="Nummerierungsliste 4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6" w15:restartNumberingAfterBreak="0">
    <w:nsid w:val="51862F13"/>
    <w:multiLevelType w:val="multilevel"/>
    <w:tmpl w:val="51862F13"/>
    <w:name w:val="Nummerierungsliste 7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7" w15:restartNumberingAfterBreak="0">
    <w:nsid w:val="51862F16"/>
    <w:multiLevelType w:val="multilevel"/>
    <w:tmpl w:val="51862F16"/>
    <w:name w:val="Nummerierungsliste 10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8" w15:restartNumberingAfterBreak="0">
    <w:nsid w:val="51862F18"/>
    <w:multiLevelType w:val="multilevel"/>
    <w:tmpl w:val="51862F18"/>
    <w:name w:val="Nummerierungsliste 12"/>
    <w:lvl w:ilvl="0">
      <w:start w:val="1"/>
      <w:numFmt w:val="bullet"/>
      <w:lvlText w:val=""/>
      <w:lvlJc w:val="left"/>
      <w:rPr>
        <w:rFonts w:ascii="Symbol" w:hAnsi="Symbol"/>
      </w:rPr>
    </w:lvl>
    <w:lvl w:ilvl="1">
      <w:start w:val="1"/>
      <w:numFmt w:val="bullet"/>
      <w:lvlText w:val="o"/>
      <w:lvlJc w:val="left"/>
      <w:rPr>
        <w:rFonts w:ascii="Courier New" w:hAnsi="Courier New"/>
      </w:rPr>
    </w:lvl>
    <w:lvl w:ilvl="2">
      <w:start w:val="1"/>
      <w:numFmt w:val="bullet"/>
      <w:lvlText w:val=""/>
      <w:lvlJc w:val="left"/>
      <w:rPr>
        <w:rFonts w:ascii="Wingdings" w:hAnsi="Wingdings"/>
      </w:rPr>
    </w:lvl>
    <w:lvl w:ilvl="3">
      <w:start w:val="1"/>
      <w:numFmt w:val="bullet"/>
      <w:lvlText w:val=""/>
      <w:lvlJc w:val="left"/>
      <w:rPr>
        <w:rFonts w:ascii="Symbol" w:hAnsi="Symbol"/>
      </w:rPr>
    </w:lvl>
    <w:lvl w:ilvl="4">
      <w:start w:val="1"/>
      <w:numFmt w:val="bullet"/>
      <w:lvlText w:val="o"/>
      <w:lvlJc w:val="left"/>
      <w:rPr>
        <w:rFonts w:ascii="Courier New" w:hAnsi="Courier New"/>
      </w:rPr>
    </w:lvl>
    <w:lvl w:ilvl="5">
      <w:start w:val="1"/>
      <w:numFmt w:val="bullet"/>
      <w:lvlText w:val=""/>
      <w:lvlJc w:val="left"/>
      <w:rPr>
        <w:rFonts w:ascii="Wingdings" w:hAnsi="Wingdings"/>
      </w:rPr>
    </w:lvl>
    <w:lvl w:ilvl="6">
      <w:start w:val="1"/>
      <w:numFmt w:val="bullet"/>
      <w:lvlText w:val=""/>
      <w:lvlJc w:val="left"/>
      <w:rPr>
        <w:rFonts w:ascii="Symbol" w:hAnsi="Symbol"/>
      </w:rPr>
    </w:lvl>
    <w:lvl w:ilvl="7">
      <w:start w:val="1"/>
      <w:numFmt w:val="bullet"/>
      <w:lvlText w:val="o"/>
      <w:lvlJc w:val="left"/>
      <w:rPr>
        <w:rFonts w:ascii="Courier New" w:hAnsi="Courier New"/>
      </w:rPr>
    </w:lvl>
    <w:lvl w:ilvl="8">
      <w:start w:val="1"/>
      <w:numFmt w:val="bullet"/>
      <w:lvlText w:val=""/>
      <w:lvlJc w:val="left"/>
      <w:rPr>
        <w:rFonts w:ascii="Wingdings" w:hAnsi="Wingdings"/>
      </w:rPr>
    </w:lvl>
  </w:abstractNum>
  <w:abstractNum w:abstractNumId="19" w15:restartNumberingAfterBreak="0">
    <w:nsid w:val="54D35FDE"/>
    <w:multiLevelType w:val="hybridMultilevel"/>
    <w:tmpl w:val="5FBC30FE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AC50294"/>
    <w:multiLevelType w:val="hybridMultilevel"/>
    <w:tmpl w:val="4FDC27C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D1A7516"/>
    <w:multiLevelType w:val="hybridMultilevel"/>
    <w:tmpl w:val="525AAA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C5079F"/>
    <w:multiLevelType w:val="hybridMultilevel"/>
    <w:tmpl w:val="09C892A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68021475">
    <w:abstractNumId w:val="9"/>
  </w:num>
  <w:num w:numId="2" w16cid:durableId="1804158717">
    <w:abstractNumId w:val="19"/>
  </w:num>
  <w:num w:numId="3" w16cid:durableId="1548251974">
    <w:abstractNumId w:val="22"/>
  </w:num>
  <w:num w:numId="4" w16cid:durableId="869875702">
    <w:abstractNumId w:val="10"/>
  </w:num>
  <w:num w:numId="5" w16cid:durableId="1526597782">
    <w:abstractNumId w:val="6"/>
  </w:num>
  <w:num w:numId="6" w16cid:durableId="867765150">
    <w:abstractNumId w:val="7"/>
  </w:num>
  <w:num w:numId="7" w16cid:durableId="1798405097">
    <w:abstractNumId w:val="12"/>
  </w:num>
  <w:num w:numId="8" w16cid:durableId="388921494">
    <w:abstractNumId w:val="11"/>
  </w:num>
  <w:num w:numId="9" w16cid:durableId="1308784843">
    <w:abstractNumId w:val="8"/>
  </w:num>
  <w:num w:numId="10" w16cid:durableId="998121745">
    <w:abstractNumId w:val="5"/>
  </w:num>
  <w:num w:numId="11" w16cid:durableId="1808205416">
    <w:abstractNumId w:val="21"/>
  </w:num>
  <w:num w:numId="12" w16cid:durableId="210113988">
    <w:abstractNumId w:val="14"/>
  </w:num>
  <w:num w:numId="13" w16cid:durableId="1970042432">
    <w:abstractNumId w:val="15"/>
  </w:num>
  <w:num w:numId="14" w16cid:durableId="1035348882">
    <w:abstractNumId w:val="13"/>
  </w:num>
  <w:num w:numId="15" w16cid:durableId="300035607">
    <w:abstractNumId w:val="16"/>
  </w:num>
  <w:num w:numId="16" w16cid:durableId="978144461">
    <w:abstractNumId w:val="17"/>
  </w:num>
  <w:num w:numId="17" w16cid:durableId="638414688">
    <w:abstractNumId w:val="18"/>
  </w:num>
  <w:num w:numId="18" w16cid:durableId="1809593188">
    <w:abstractNumId w:val="4"/>
  </w:num>
  <w:num w:numId="19" w16cid:durableId="310256859">
    <w:abstractNumId w:val="3"/>
  </w:num>
  <w:num w:numId="20" w16cid:durableId="484276499">
    <w:abstractNumId w:val="2"/>
  </w:num>
  <w:num w:numId="21" w16cid:durableId="542445318">
    <w:abstractNumId w:val="1"/>
  </w:num>
  <w:num w:numId="22" w16cid:durableId="688532022">
    <w:abstractNumId w:val="0"/>
  </w:num>
  <w:num w:numId="23" w16cid:durableId="22750056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515F"/>
    <w:rsid w:val="00022C51"/>
    <w:rsid w:val="00032A0C"/>
    <w:rsid w:val="00043D60"/>
    <w:rsid w:val="000779E6"/>
    <w:rsid w:val="00086146"/>
    <w:rsid w:val="00092CAA"/>
    <w:rsid w:val="000B50CC"/>
    <w:rsid w:val="000C6A2D"/>
    <w:rsid w:val="00111E67"/>
    <w:rsid w:val="001166AC"/>
    <w:rsid w:val="0015409B"/>
    <w:rsid w:val="001A70C9"/>
    <w:rsid w:val="001B2F98"/>
    <w:rsid w:val="001B429B"/>
    <w:rsid w:val="00205D0C"/>
    <w:rsid w:val="00221BA5"/>
    <w:rsid w:val="00253097"/>
    <w:rsid w:val="0027096C"/>
    <w:rsid w:val="002766CF"/>
    <w:rsid w:val="0028515F"/>
    <w:rsid w:val="00287D7D"/>
    <w:rsid w:val="002A5D13"/>
    <w:rsid w:val="002B029B"/>
    <w:rsid w:val="002B4419"/>
    <w:rsid w:val="002D45E4"/>
    <w:rsid w:val="002E4378"/>
    <w:rsid w:val="00332CA1"/>
    <w:rsid w:val="003511D4"/>
    <w:rsid w:val="003615F4"/>
    <w:rsid w:val="003676E3"/>
    <w:rsid w:val="00380EF0"/>
    <w:rsid w:val="003A1091"/>
    <w:rsid w:val="003A4ED1"/>
    <w:rsid w:val="003E3400"/>
    <w:rsid w:val="003F40AD"/>
    <w:rsid w:val="00433F51"/>
    <w:rsid w:val="0045558D"/>
    <w:rsid w:val="004639C0"/>
    <w:rsid w:val="004955F6"/>
    <w:rsid w:val="00496C3D"/>
    <w:rsid w:val="004A47F9"/>
    <w:rsid w:val="004C2396"/>
    <w:rsid w:val="0050689E"/>
    <w:rsid w:val="00534FB6"/>
    <w:rsid w:val="00551B88"/>
    <w:rsid w:val="00587D31"/>
    <w:rsid w:val="00614D0A"/>
    <w:rsid w:val="00653E72"/>
    <w:rsid w:val="00661981"/>
    <w:rsid w:val="0066479A"/>
    <w:rsid w:val="006A5CFE"/>
    <w:rsid w:val="006B5989"/>
    <w:rsid w:val="006B797D"/>
    <w:rsid w:val="006E18EF"/>
    <w:rsid w:val="00714F07"/>
    <w:rsid w:val="00725FA4"/>
    <w:rsid w:val="007A7CA7"/>
    <w:rsid w:val="007B0290"/>
    <w:rsid w:val="007C0AE5"/>
    <w:rsid w:val="007D58D2"/>
    <w:rsid w:val="007E1A2E"/>
    <w:rsid w:val="00810CD0"/>
    <w:rsid w:val="00841FA8"/>
    <w:rsid w:val="008522CE"/>
    <w:rsid w:val="00852BFB"/>
    <w:rsid w:val="00860ECB"/>
    <w:rsid w:val="008633AC"/>
    <w:rsid w:val="008838E4"/>
    <w:rsid w:val="00887070"/>
    <w:rsid w:val="008B1F83"/>
    <w:rsid w:val="008B7A2C"/>
    <w:rsid w:val="008C0D29"/>
    <w:rsid w:val="008E3374"/>
    <w:rsid w:val="008E4B8D"/>
    <w:rsid w:val="008E62B1"/>
    <w:rsid w:val="00937B0B"/>
    <w:rsid w:val="0094172F"/>
    <w:rsid w:val="009433D9"/>
    <w:rsid w:val="00983536"/>
    <w:rsid w:val="009908DD"/>
    <w:rsid w:val="009A32EA"/>
    <w:rsid w:val="009B721F"/>
    <w:rsid w:val="009E79DF"/>
    <w:rsid w:val="00A06C64"/>
    <w:rsid w:val="00A17095"/>
    <w:rsid w:val="00A24EA3"/>
    <w:rsid w:val="00A24F05"/>
    <w:rsid w:val="00AB1A45"/>
    <w:rsid w:val="00AC4A16"/>
    <w:rsid w:val="00B01FFE"/>
    <w:rsid w:val="00B707AF"/>
    <w:rsid w:val="00B77525"/>
    <w:rsid w:val="00B87D52"/>
    <w:rsid w:val="00BD71E9"/>
    <w:rsid w:val="00BF7A72"/>
    <w:rsid w:val="00C310AF"/>
    <w:rsid w:val="00C73E1A"/>
    <w:rsid w:val="00CC38C8"/>
    <w:rsid w:val="00CF7045"/>
    <w:rsid w:val="00D758F4"/>
    <w:rsid w:val="00DB32C7"/>
    <w:rsid w:val="00E2265E"/>
    <w:rsid w:val="00E26939"/>
    <w:rsid w:val="00E353A3"/>
    <w:rsid w:val="00EC24AC"/>
    <w:rsid w:val="00EC3153"/>
    <w:rsid w:val="00F20663"/>
    <w:rsid w:val="00F27330"/>
    <w:rsid w:val="00F43559"/>
    <w:rsid w:val="00FA19D7"/>
    <w:rsid w:val="00FC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C0809"/>
  <w15:chartTrackingRefBased/>
  <w15:docId w15:val="{34E61B2E-A1BB-499B-A7CA-A424FAD6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87D52"/>
    <w:pPr>
      <w:spacing w:after="200" w:line="276" w:lineRule="auto"/>
    </w:pPr>
    <w:rPr>
      <w:sz w:val="22"/>
      <w:szCs w:val="22"/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28515F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 w:eastAsia="x-none"/>
    </w:rPr>
  </w:style>
  <w:style w:type="paragraph" w:styleId="berschrift2">
    <w:name w:val="heading 2"/>
    <w:basedOn w:val="Standard"/>
    <w:link w:val="berschrift2Zchn"/>
    <w:uiPriority w:val="9"/>
    <w:qFormat/>
    <w:rsid w:val="0028515F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x-none" w:eastAsia="de-DE"/>
    </w:rPr>
  </w:style>
  <w:style w:type="paragraph" w:styleId="berschrift3">
    <w:name w:val="heading 3"/>
    <w:basedOn w:val="Standard"/>
    <w:link w:val="berschrift3Zchn"/>
    <w:uiPriority w:val="9"/>
    <w:qFormat/>
    <w:rsid w:val="0028515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  <w:lang w:val="x-none" w:eastAsia="de-DE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tandardWeb">
    <w:name w:val="Normal (Web)"/>
    <w:basedOn w:val="Standard"/>
    <w:uiPriority w:val="99"/>
    <w:semiHidden/>
    <w:unhideWhenUsed/>
    <w:rsid w:val="0028515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de-DE"/>
    </w:rPr>
  </w:style>
  <w:style w:type="character" w:styleId="Fett">
    <w:name w:val="Strong"/>
    <w:uiPriority w:val="22"/>
    <w:qFormat/>
    <w:rsid w:val="0028515F"/>
    <w:rPr>
      <w:b/>
      <w:bCs/>
    </w:rPr>
  </w:style>
  <w:style w:type="character" w:customStyle="1" w:styleId="berschrift2Zchn">
    <w:name w:val="Überschrift 2 Zchn"/>
    <w:link w:val="berschrift2"/>
    <w:uiPriority w:val="9"/>
    <w:rsid w:val="0028515F"/>
    <w:rPr>
      <w:rFonts w:ascii="Times New Roman" w:eastAsia="Times New Roman" w:hAnsi="Times New Roman" w:cs="Times New Roman"/>
      <w:b/>
      <w:bCs/>
      <w:sz w:val="36"/>
      <w:szCs w:val="36"/>
      <w:lang w:eastAsia="de-DE"/>
    </w:rPr>
  </w:style>
  <w:style w:type="character" w:customStyle="1" w:styleId="berschrift3Zchn">
    <w:name w:val="Überschrift 3 Zchn"/>
    <w:link w:val="berschrift3"/>
    <w:uiPriority w:val="9"/>
    <w:rsid w:val="0028515F"/>
    <w:rPr>
      <w:rFonts w:ascii="Times New Roman" w:eastAsia="Times New Roman" w:hAnsi="Times New Roman" w:cs="Times New Roman"/>
      <w:b/>
      <w:bCs/>
      <w:sz w:val="27"/>
      <w:szCs w:val="27"/>
      <w:lang w:eastAsia="de-DE"/>
    </w:rPr>
  </w:style>
  <w:style w:type="character" w:customStyle="1" w:styleId="berschrift1Zchn">
    <w:name w:val="Überschrift 1 Zchn"/>
    <w:link w:val="berschrift1"/>
    <w:uiPriority w:val="9"/>
    <w:rsid w:val="0028515F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2851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/>
      <w:sz w:val="20"/>
      <w:szCs w:val="20"/>
      <w:lang w:val="x-none" w:eastAsia="de-DE"/>
    </w:rPr>
  </w:style>
  <w:style w:type="character" w:customStyle="1" w:styleId="HTMLVorformatiertZchn">
    <w:name w:val="HTML Vorformatiert Zchn"/>
    <w:link w:val="HTMLVorformatiert"/>
    <w:uiPriority w:val="99"/>
    <w:semiHidden/>
    <w:rsid w:val="0028515F"/>
    <w:rPr>
      <w:rFonts w:ascii="Courier New" w:eastAsia="Times New Roman" w:hAnsi="Courier New" w:cs="Courier New"/>
      <w:sz w:val="20"/>
      <w:szCs w:val="20"/>
      <w:lang w:eastAsia="de-DE"/>
    </w:rPr>
  </w:style>
  <w:style w:type="table" w:customStyle="1" w:styleId="Tabellengitternetz">
    <w:name w:val="Tabellengitternetz"/>
    <w:basedOn w:val="NormaleTabelle"/>
    <w:uiPriority w:val="59"/>
    <w:rsid w:val="0028515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2A5D13"/>
  </w:style>
  <w:style w:type="paragraph" w:styleId="Fuzeile">
    <w:name w:val="footer"/>
    <w:basedOn w:val="Standard"/>
    <w:link w:val="FuzeileZchn"/>
    <w:uiPriority w:val="99"/>
    <w:unhideWhenUsed/>
    <w:rsid w:val="002A5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2A5D1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2A5D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SprechblasentextZchn">
    <w:name w:val="Sprechblasentext Zchn"/>
    <w:link w:val="Sprechblasentext"/>
    <w:uiPriority w:val="99"/>
    <w:semiHidden/>
    <w:rsid w:val="002A5D13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661981"/>
    <w:pPr>
      <w:spacing w:after="0" w:line="240" w:lineRule="auto"/>
      <w:ind w:left="720"/>
      <w:contextualSpacing/>
    </w:pPr>
    <w:rPr>
      <w:rFonts w:ascii="Times New Roman" w:eastAsia="Times New Roman" w:hAnsi="Times New Roman"/>
      <w:bCs/>
      <w:sz w:val="20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7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71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Ausgabe 01 - 2014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0855CC45-F35D-4848-8AED-5115BE2A93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201</Words>
  <Characters>1268</Characters>
  <Application>Microsoft Office Word</Application>
  <DocSecurity>0</DocSecurity>
  <Lines>10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Praxis: Soziale Betreuung</vt:lpstr>
    </vt:vector>
  </TitlesOfParts>
  <Company>Microsoft</Company>
  <LinksUpToDate>false</LinksUpToDate>
  <CharactersWithSpaces>1467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Praxis: Soziale Betreuung</dc:title>
  <dc:subject/>
  <dc:creator>Dominik Muhle</dc:creator>
  <cp:keywords/>
  <cp:lastModifiedBy>Korinna Wulfinghoff</cp:lastModifiedBy>
  <cp:revision>2</cp:revision>
  <cp:lastPrinted>2013-12-09T12:30:00Z</cp:lastPrinted>
  <dcterms:created xsi:type="dcterms:W3CDTF">2025-08-07T10:48:00Z</dcterms:created>
  <dcterms:modified xsi:type="dcterms:W3CDTF">2025-08-07T10:48:00Z</dcterms:modified>
</cp:coreProperties>
</file>