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5824" w14:textId="77777777" w:rsidR="002A5D13" w:rsidRDefault="007A7CA7" w:rsidP="00303DAD">
      <w:pPr>
        <w:tabs>
          <w:tab w:val="left" w:pos="1851"/>
          <w:tab w:val="left" w:pos="5280"/>
        </w:tabs>
        <w:rPr>
          <w:b/>
          <w:noProof/>
          <w:lang w:eastAsia="de-DE"/>
        </w:rPr>
      </w:pPr>
      <w:r>
        <w:rPr>
          <w:b/>
          <w:noProof/>
          <w:lang w:eastAsia="de-DE"/>
        </w:rPr>
        <w:tab/>
      </w:r>
      <w:r w:rsidR="00303DAD">
        <w:rPr>
          <w:b/>
          <w:noProof/>
          <w:lang w:eastAsia="de-DE"/>
        </w:rPr>
        <w:tab/>
      </w:r>
    </w:p>
    <w:p w14:paraId="23DCB4F5" w14:textId="2270E6F9" w:rsidR="00950B30" w:rsidRDefault="007A7CA7" w:rsidP="000A4B74">
      <w:pPr>
        <w:tabs>
          <w:tab w:val="left" w:pos="1515"/>
          <w:tab w:val="left" w:pos="2430"/>
          <w:tab w:val="left" w:pos="4185"/>
          <w:tab w:val="left" w:pos="6900"/>
        </w:tabs>
      </w:pPr>
      <w:r>
        <w:tab/>
      </w:r>
      <w:r w:rsidR="00EF43D3">
        <w:tab/>
      </w:r>
      <w:r>
        <w:tab/>
      </w:r>
      <w:r w:rsidR="00B707AF">
        <w:tab/>
      </w:r>
    </w:p>
    <w:p w14:paraId="4ABB86BA" w14:textId="77777777" w:rsidR="000A4B74" w:rsidRDefault="000A4B74" w:rsidP="00C73E1A"/>
    <w:tbl>
      <w:tblPr>
        <w:tblStyle w:val="Tabellenraster"/>
        <w:tblW w:w="9493" w:type="dxa"/>
        <w:jc w:val="center"/>
        <w:tblLook w:val="04A0" w:firstRow="1" w:lastRow="0" w:firstColumn="1" w:lastColumn="0" w:noHBand="0" w:noVBand="1"/>
      </w:tblPr>
      <w:tblGrid>
        <w:gridCol w:w="1271"/>
        <w:gridCol w:w="8222"/>
      </w:tblGrid>
      <w:tr w:rsidR="000A4B74" w:rsidRPr="000A4B74" w14:paraId="1F3F311D" w14:textId="77777777" w:rsidTr="000A4B74">
        <w:trPr>
          <w:jc w:val="center"/>
        </w:trPr>
        <w:tc>
          <w:tcPr>
            <w:tcW w:w="9493" w:type="dxa"/>
            <w:gridSpan w:val="2"/>
            <w:shd w:val="clear" w:color="auto" w:fill="82AFA7"/>
            <w:vAlign w:val="center"/>
          </w:tcPr>
          <w:p w14:paraId="04BE9AA4" w14:textId="77777777" w:rsidR="000A4B74" w:rsidRPr="000A4B74" w:rsidRDefault="000A4B74" w:rsidP="000A4B74">
            <w:pPr>
              <w:spacing w:before="120" w:after="120"/>
              <w:rPr>
                <w:rFonts w:ascii="Arial" w:eastAsia="Calibri" w:hAnsi="Arial" w:cs="Arial"/>
                <w:b/>
                <w:color w:val="000000" w:themeColor="text1"/>
                <w:sz w:val="28"/>
                <w:szCs w:val="28"/>
              </w:rPr>
            </w:pPr>
            <w:r w:rsidRPr="000A4B74">
              <w:rPr>
                <w:rFonts w:ascii="Arial" w:eastAsia="Calibri" w:hAnsi="Arial" w:cs="Arial"/>
                <w:b/>
                <w:color w:val="000000" w:themeColor="text1"/>
                <w:sz w:val="28"/>
                <w:szCs w:val="28"/>
              </w:rPr>
              <w:t>Schritt-für-Schritt-Anleitung: Ablauf „Betreuungsverfahren“</w:t>
            </w:r>
          </w:p>
        </w:tc>
      </w:tr>
      <w:tr w:rsidR="000A4B74" w:rsidRPr="000A4B74" w14:paraId="27ED1362" w14:textId="77777777" w:rsidTr="000A4B74">
        <w:trPr>
          <w:jc w:val="center"/>
        </w:trPr>
        <w:tc>
          <w:tcPr>
            <w:tcW w:w="1271" w:type="dxa"/>
            <w:shd w:val="clear" w:color="auto" w:fill="F6A0A2"/>
            <w:vAlign w:val="center"/>
          </w:tcPr>
          <w:p w14:paraId="564BED77"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w:t>
            </w:r>
          </w:p>
        </w:tc>
        <w:tc>
          <w:tcPr>
            <w:tcW w:w="8222" w:type="dxa"/>
            <w:shd w:val="clear" w:color="auto" w:fill="F6A0A2"/>
            <w:vAlign w:val="center"/>
          </w:tcPr>
          <w:p w14:paraId="39E1D675"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Beschreibung</w:t>
            </w:r>
          </w:p>
        </w:tc>
      </w:tr>
      <w:tr w:rsidR="000A4B74" w:rsidRPr="000A4B74" w14:paraId="6D096A3D" w14:textId="77777777" w:rsidTr="000A4B74">
        <w:trPr>
          <w:jc w:val="center"/>
        </w:trPr>
        <w:tc>
          <w:tcPr>
            <w:tcW w:w="1271" w:type="dxa"/>
            <w:vAlign w:val="center"/>
          </w:tcPr>
          <w:p w14:paraId="4D0D5803"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1</w:t>
            </w:r>
          </w:p>
        </w:tc>
        <w:tc>
          <w:tcPr>
            <w:tcW w:w="8222" w:type="dxa"/>
            <w:vAlign w:val="center"/>
          </w:tcPr>
          <w:p w14:paraId="13F65AE3"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Die Betreuung wird angeregt, z. B. durch die Pflegeeinrichtung, Angehörige oder Bekannte. Dies kann formlos beim zuständigen Amtsgericht erfolgen.</w:t>
            </w:r>
          </w:p>
        </w:tc>
      </w:tr>
      <w:tr w:rsidR="000A4B74" w:rsidRPr="000A4B74" w14:paraId="7CFA95DB" w14:textId="77777777" w:rsidTr="000A4B74">
        <w:trPr>
          <w:jc w:val="center"/>
        </w:trPr>
        <w:tc>
          <w:tcPr>
            <w:tcW w:w="1271" w:type="dxa"/>
            <w:vAlign w:val="center"/>
          </w:tcPr>
          <w:p w14:paraId="1D3D93B5"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2</w:t>
            </w:r>
          </w:p>
        </w:tc>
        <w:tc>
          <w:tcPr>
            <w:tcW w:w="8222" w:type="dxa"/>
            <w:vAlign w:val="center"/>
          </w:tcPr>
          <w:p w14:paraId="5E584FCF"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Das Betreuungsgericht prüft, ob eine Vorsorgevollmacht vorliegt, die die Anordnung einer Betreuung überflüssig macht. Dies unterstreicht die Bedeutung einer rechtzeitig erstellten und gültigen Vorsorgevollmacht.</w:t>
            </w:r>
          </w:p>
        </w:tc>
      </w:tr>
      <w:tr w:rsidR="000A4B74" w:rsidRPr="000A4B74" w14:paraId="079EC003" w14:textId="77777777" w:rsidTr="000A4B74">
        <w:trPr>
          <w:jc w:val="center"/>
        </w:trPr>
        <w:tc>
          <w:tcPr>
            <w:tcW w:w="1271" w:type="dxa"/>
            <w:vAlign w:val="center"/>
          </w:tcPr>
          <w:p w14:paraId="3453F4B6"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3</w:t>
            </w:r>
          </w:p>
        </w:tc>
        <w:tc>
          <w:tcPr>
            <w:tcW w:w="8222" w:type="dxa"/>
            <w:vAlign w:val="center"/>
          </w:tcPr>
          <w:p w14:paraId="13DFB13A"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Ein Sachverständigengutachten über den Bewohner wird eingeholt. Dieses klärt, ob die betroffene Person noch in der Lage ist, ihre rechtlichen Angelegenheiten selbst zu regeln. Ihre Einrichtung sollte hier unterstützend alle relevanten Informationen bereitstellen.</w:t>
            </w:r>
          </w:p>
        </w:tc>
      </w:tr>
      <w:tr w:rsidR="000A4B74" w:rsidRPr="000A4B74" w14:paraId="59E88A9E" w14:textId="77777777" w:rsidTr="000A4B74">
        <w:trPr>
          <w:jc w:val="center"/>
        </w:trPr>
        <w:tc>
          <w:tcPr>
            <w:tcW w:w="1271" w:type="dxa"/>
            <w:vAlign w:val="center"/>
          </w:tcPr>
          <w:p w14:paraId="7038E092"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4</w:t>
            </w:r>
          </w:p>
        </w:tc>
        <w:tc>
          <w:tcPr>
            <w:tcW w:w="8222" w:type="dxa"/>
            <w:vAlign w:val="center"/>
          </w:tcPr>
          <w:p w14:paraId="510C24B1"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Der Bewohner wird durch den zuständigen Richter persönlich angehört. Falls erforderlich, macht der Richter auch einen Besuch vor Ort in der Einrichtung. Vertrauenspersonen können an diesem Termin teilnehmen. Bereiten Sie den Bewohner auf diesen Termin vor.</w:t>
            </w:r>
          </w:p>
        </w:tc>
      </w:tr>
      <w:tr w:rsidR="000A4B74" w:rsidRPr="000A4B74" w14:paraId="798D9D21" w14:textId="77777777" w:rsidTr="000A4B74">
        <w:trPr>
          <w:jc w:val="center"/>
        </w:trPr>
        <w:tc>
          <w:tcPr>
            <w:tcW w:w="1271" w:type="dxa"/>
            <w:vAlign w:val="center"/>
          </w:tcPr>
          <w:p w14:paraId="491AB3F4"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5</w:t>
            </w:r>
          </w:p>
        </w:tc>
        <w:tc>
          <w:tcPr>
            <w:tcW w:w="8222" w:type="dxa"/>
            <w:vAlign w:val="center"/>
          </w:tcPr>
          <w:p w14:paraId="20766857"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Das Gericht entscheidet, ob und in welchem Umfang eine Betreuung notwendig ist. Das Gericht legt die Aufgabenkreise des Betreuers fest.</w:t>
            </w:r>
          </w:p>
        </w:tc>
      </w:tr>
      <w:tr w:rsidR="000A4B74" w:rsidRPr="000A4B74" w14:paraId="14EBADF9" w14:textId="77777777" w:rsidTr="000A4B74">
        <w:trPr>
          <w:jc w:val="center"/>
        </w:trPr>
        <w:tc>
          <w:tcPr>
            <w:tcW w:w="1271" w:type="dxa"/>
            <w:vAlign w:val="center"/>
          </w:tcPr>
          <w:p w14:paraId="48D1FEC9"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6</w:t>
            </w:r>
          </w:p>
        </w:tc>
        <w:tc>
          <w:tcPr>
            <w:tcW w:w="8222" w:type="dxa"/>
            <w:vAlign w:val="center"/>
          </w:tcPr>
          <w:p w14:paraId="3B285257"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Der Betreuungsbeschluss wird ausgefertigt und die Betreuungsurkunde ausgehändigt. Dies ist das offizielle Dokument, das die Betreuung rechtlich wirksam macht.</w:t>
            </w:r>
          </w:p>
        </w:tc>
      </w:tr>
      <w:tr w:rsidR="000A4B74" w:rsidRPr="000A4B74" w14:paraId="4254E03F" w14:textId="77777777" w:rsidTr="000A4B74">
        <w:trPr>
          <w:jc w:val="center"/>
        </w:trPr>
        <w:tc>
          <w:tcPr>
            <w:tcW w:w="1271" w:type="dxa"/>
            <w:vAlign w:val="center"/>
          </w:tcPr>
          <w:p w14:paraId="307DDF2F" w14:textId="77777777" w:rsidR="000A4B74" w:rsidRPr="000A4B74" w:rsidRDefault="000A4B74" w:rsidP="000A4B74">
            <w:pPr>
              <w:spacing w:before="120" w:after="120"/>
              <w:rPr>
                <w:rFonts w:ascii="Arial" w:eastAsia="Calibri" w:hAnsi="Arial" w:cs="Arial"/>
                <w:b/>
                <w:color w:val="000000" w:themeColor="text1"/>
                <w:sz w:val="24"/>
                <w:szCs w:val="24"/>
              </w:rPr>
            </w:pPr>
            <w:r w:rsidRPr="000A4B74">
              <w:rPr>
                <w:rFonts w:ascii="Arial" w:eastAsia="Calibri" w:hAnsi="Arial" w:cs="Arial"/>
                <w:b/>
                <w:color w:val="000000" w:themeColor="text1"/>
                <w:sz w:val="24"/>
                <w:szCs w:val="24"/>
              </w:rPr>
              <w:t>Schritt 7</w:t>
            </w:r>
          </w:p>
        </w:tc>
        <w:tc>
          <w:tcPr>
            <w:tcW w:w="8222" w:type="dxa"/>
            <w:vAlign w:val="center"/>
          </w:tcPr>
          <w:p w14:paraId="67E7CA9D" w14:textId="77777777" w:rsidR="000A4B74" w:rsidRPr="000A4B74" w:rsidRDefault="000A4B74" w:rsidP="000A4B74">
            <w:pPr>
              <w:spacing w:before="120" w:after="120"/>
              <w:rPr>
                <w:rFonts w:ascii="Arial" w:eastAsia="Calibri" w:hAnsi="Arial" w:cs="Arial"/>
                <w:bCs/>
                <w:color w:val="000000" w:themeColor="text1"/>
                <w:sz w:val="24"/>
                <w:szCs w:val="24"/>
              </w:rPr>
            </w:pPr>
            <w:r w:rsidRPr="000A4B74">
              <w:rPr>
                <w:rFonts w:ascii="Arial" w:eastAsia="Calibri" w:hAnsi="Arial" w:cs="Arial"/>
                <w:bCs/>
                <w:color w:val="000000" w:themeColor="text1"/>
                <w:sz w:val="24"/>
                <w:szCs w:val="24"/>
              </w:rPr>
              <w:t>Die Betreuung regelmäßig durch das Gericht überprüft. spätestens nach 7 Jahren. Diese Überprüfung stellt sicher, dass die Notwendigkeit der Betreuung regelmäßig neu bewertet wird und die Rechte des Bewohners gewahrt bleiben.</w:t>
            </w:r>
          </w:p>
        </w:tc>
      </w:tr>
    </w:tbl>
    <w:p w14:paraId="1B57720A" w14:textId="77777777" w:rsidR="000A4B74" w:rsidRPr="000A4B74" w:rsidRDefault="000A4B74" w:rsidP="000A4B74">
      <w:pPr>
        <w:spacing w:before="120" w:after="120"/>
        <w:rPr>
          <w:rFonts w:ascii="Arial" w:hAnsi="Arial" w:cs="Arial"/>
          <w:bCs/>
          <w:color w:val="000000" w:themeColor="text1"/>
          <w:sz w:val="24"/>
          <w:szCs w:val="24"/>
        </w:rPr>
      </w:pPr>
    </w:p>
    <w:p w14:paraId="764807AB" w14:textId="77777777" w:rsidR="001252A1" w:rsidRPr="000A4B74" w:rsidRDefault="001252A1" w:rsidP="000A4B74">
      <w:pPr>
        <w:spacing w:before="120" w:after="120"/>
        <w:rPr>
          <w:rFonts w:ascii="Arial" w:hAnsi="Arial" w:cs="Arial"/>
          <w:bCs/>
          <w:color w:val="000000" w:themeColor="text1"/>
          <w:sz w:val="24"/>
          <w:szCs w:val="24"/>
        </w:rPr>
      </w:pPr>
    </w:p>
    <w:p w14:paraId="7812C6E6" w14:textId="77777777" w:rsidR="001252A1" w:rsidRDefault="001252A1" w:rsidP="00C73E1A"/>
    <w:sectPr w:rsidR="001252A1" w:rsidSect="00C61190">
      <w:headerReference w:type="default" r:id="rId9"/>
      <w:pgSz w:w="11906" w:h="16838" w:code="9"/>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49A9A78D" w:rsidR="007A7CA7" w:rsidRPr="00DD7135" w:rsidRDefault="00EF43D3" w:rsidP="00EF43D3">
          <w:pPr>
            <w:pStyle w:val="Kopfzeile"/>
            <w:jc w:val="center"/>
            <w:rPr>
              <w:b/>
            </w:rPr>
          </w:pPr>
          <w:r w:rsidRPr="00DD7135">
            <w:rPr>
              <w:b/>
              <w:sz w:val="24"/>
            </w:rPr>
            <w:t xml:space="preserve">Ausgabe </w:t>
          </w:r>
          <w:r w:rsidR="001252A1">
            <w:rPr>
              <w:b/>
              <w:sz w:val="24"/>
            </w:rPr>
            <w:t>1</w:t>
          </w:r>
          <w:r w:rsidR="00950B30">
            <w:rPr>
              <w:b/>
              <w:sz w:val="24"/>
            </w:rPr>
            <w:t>7</w:t>
          </w:r>
          <w:r w:rsidR="002C30B2" w:rsidRPr="00DD7135">
            <w:rPr>
              <w:b/>
              <w:sz w:val="24"/>
            </w:rPr>
            <w:t xml:space="preserve"> - 20</w:t>
          </w:r>
          <w:r w:rsidR="00DD7135" w:rsidRPr="00DD7135">
            <w:rPr>
              <w:b/>
              <w:sz w:val="24"/>
            </w:rPr>
            <w:t>2</w:t>
          </w:r>
          <w:r w:rsidR="00052357">
            <w:rPr>
              <w:b/>
              <w:sz w:val="24"/>
            </w:rPr>
            <w:t>5</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1398057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25E40"/>
    <w:multiLevelType w:val="hybridMultilevel"/>
    <w:tmpl w:val="F23A2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729000">
    <w:abstractNumId w:val="11"/>
  </w:num>
  <w:num w:numId="2" w16cid:durableId="1000696356">
    <w:abstractNumId w:val="21"/>
  </w:num>
  <w:num w:numId="3" w16cid:durableId="622343131">
    <w:abstractNumId w:val="23"/>
  </w:num>
  <w:num w:numId="4" w16cid:durableId="2098211513">
    <w:abstractNumId w:val="12"/>
  </w:num>
  <w:num w:numId="5" w16cid:durableId="1446730418">
    <w:abstractNumId w:val="8"/>
  </w:num>
  <w:num w:numId="6" w16cid:durableId="1411586306">
    <w:abstractNumId w:val="9"/>
  </w:num>
  <w:num w:numId="7" w16cid:durableId="94787950">
    <w:abstractNumId w:val="14"/>
  </w:num>
  <w:num w:numId="8" w16cid:durableId="1669751253">
    <w:abstractNumId w:val="13"/>
  </w:num>
  <w:num w:numId="9" w16cid:durableId="786630957">
    <w:abstractNumId w:val="10"/>
  </w:num>
  <w:num w:numId="10" w16cid:durableId="1424759463">
    <w:abstractNumId w:val="7"/>
  </w:num>
  <w:num w:numId="11" w16cid:durableId="1814102308">
    <w:abstractNumId w:val="22"/>
  </w:num>
  <w:num w:numId="12" w16cid:durableId="269510518">
    <w:abstractNumId w:val="16"/>
  </w:num>
  <w:num w:numId="13" w16cid:durableId="2119713375">
    <w:abstractNumId w:val="17"/>
  </w:num>
  <w:num w:numId="14" w16cid:durableId="1635139796">
    <w:abstractNumId w:val="15"/>
  </w:num>
  <w:num w:numId="15" w16cid:durableId="1498955337">
    <w:abstractNumId w:val="18"/>
  </w:num>
  <w:num w:numId="16" w16cid:durableId="396052214">
    <w:abstractNumId w:val="19"/>
  </w:num>
  <w:num w:numId="17" w16cid:durableId="2053142037">
    <w:abstractNumId w:val="20"/>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 w:numId="23" w16cid:durableId="96144969">
    <w:abstractNumId w:val="5"/>
  </w:num>
  <w:num w:numId="24" w16cid:durableId="1042633346">
    <w:abstractNumId w:val="6"/>
  </w:num>
  <w:num w:numId="25" w16cid:durableId="19637997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A4B74"/>
    <w:rsid w:val="000B50CC"/>
    <w:rsid w:val="000C6A2D"/>
    <w:rsid w:val="001252A1"/>
    <w:rsid w:val="0015409B"/>
    <w:rsid w:val="00196105"/>
    <w:rsid w:val="001B429B"/>
    <w:rsid w:val="00201AC4"/>
    <w:rsid w:val="00205D0C"/>
    <w:rsid w:val="00270834"/>
    <w:rsid w:val="0027096C"/>
    <w:rsid w:val="002766CF"/>
    <w:rsid w:val="0028515F"/>
    <w:rsid w:val="002A37ED"/>
    <w:rsid w:val="002A5D13"/>
    <w:rsid w:val="002B029B"/>
    <w:rsid w:val="002B328E"/>
    <w:rsid w:val="002B4419"/>
    <w:rsid w:val="002C30B2"/>
    <w:rsid w:val="002D45E4"/>
    <w:rsid w:val="002E4378"/>
    <w:rsid w:val="00303DAD"/>
    <w:rsid w:val="0033635C"/>
    <w:rsid w:val="003676E3"/>
    <w:rsid w:val="00380EF0"/>
    <w:rsid w:val="003E3400"/>
    <w:rsid w:val="00433F51"/>
    <w:rsid w:val="00444799"/>
    <w:rsid w:val="0045388D"/>
    <w:rsid w:val="004639C0"/>
    <w:rsid w:val="004955F6"/>
    <w:rsid w:val="004A47F9"/>
    <w:rsid w:val="004B7939"/>
    <w:rsid w:val="004C2396"/>
    <w:rsid w:val="004C5FDB"/>
    <w:rsid w:val="0050689E"/>
    <w:rsid w:val="00551B88"/>
    <w:rsid w:val="00564F50"/>
    <w:rsid w:val="00587D31"/>
    <w:rsid w:val="00596F46"/>
    <w:rsid w:val="005B6F38"/>
    <w:rsid w:val="005E5BB1"/>
    <w:rsid w:val="00614D0A"/>
    <w:rsid w:val="006365AC"/>
    <w:rsid w:val="00653E72"/>
    <w:rsid w:val="00661981"/>
    <w:rsid w:val="006A5CFE"/>
    <w:rsid w:val="006B2EF6"/>
    <w:rsid w:val="006E18EF"/>
    <w:rsid w:val="006F5300"/>
    <w:rsid w:val="007A7CA7"/>
    <w:rsid w:val="007B0290"/>
    <w:rsid w:val="007C0AE5"/>
    <w:rsid w:val="007E1A2E"/>
    <w:rsid w:val="00841FA8"/>
    <w:rsid w:val="008422EC"/>
    <w:rsid w:val="008522CE"/>
    <w:rsid w:val="00852BFB"/>
    <w:rsid w:val="008633AC"/>
    <w:rsid w:val="00887070"/>
    <w:rsid w:val="008B1F83"/>
    <w:rsid w:val="008E62B1"/>
    <w:rsid w:val="009261A4"/>
    <w:rsid w:val="00937B0B"/>
    <w:rsid w:val="009433D9"/>
    <w:rsid w:val="00950B30"/>
    <w:rsid w:val="00970B2A"/>
    <w:rsid w:val="00983536"/>
    <w:rsid w:val="009B721F"/>
    <w:rsid w:val="00A06C64"/>
    <w:rsid w:val="00A14A7E"/>
    <w:rsid w:val="00A553E6"/>
    <w:rsid w:val="00A86F99"/>
    <w:rsid w:val="00AB310E"/>
    <w:rsid w:val="00B01FFE"/>
    <w:rsid w:val="00B707AF"/>
    <w:rsid w:val="00B87D52"/>
    <w:rsid w:val="00BD71E9"/>
    <w:rsid w:val="00C0431A"/>
    <w:rsid w:val="00C310AF"/>
    <w:rsid w:val="00C47118"/>
    <w:rsid w:val="00C61190"/>
    <w:rsid w:val="00C70FB3"/>
    <w:rsid w:val="00C73E1A"/>
    <w:rsid w:val="00CC38C8"/>
    <w:rsid w:val="00DB32C7"/>
    <w:rsid w:val="00DD7135"/>
    <w:rsid w:val="00DE1518"/>
    <w:rsid w:val="00DE1767"/>
    <w:rsid w:val="00E2265E"/>
    <w:rsid w:val="00EF43D3"/>
    <w:rsid w:val="00F20663"/>
    <w:rsid w:val="00F24929"/>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table" w:styleId="Tabellenraster">
    <w:name w:val="Table Grid"/>
    <w:basedOn w:val="NormaleTabelle"/>
    <w:uiPriority w:val="39"/>
    <w:rsid w:val="000A4B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2025-08-04T12:28:00Z</dcterms:created>
  <dcterms:modified xsi:type="dcterms:W3CDTF">2025-08-04T12:28:00Z</dcterms:modified>
</cp:coreProperties>
</file>