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6F695" w14:textId="30387D73" w:rsidR="009D3A29" w:rsidRDefault="0075023C">
      <w:r>
        <w:rPr>
          <w:noProof/>
        </w:rPr>
        <mc:AlternateContent>
          <mc:Choice Requires="wps">
            <w:drawing>
              <wp:anchor distT="0" distB="0" distL="114300" distR="114300" simplePos="0" relativeHeight="251658240" behindDoc="0" locked="0" layoutInCell="1" allowOverlap="1" wp14:anchorId="02316D16" wp14:editId="62336C60">
                <wp:simplePos x="0" y="0"/>
                <wp:positionH relativeFrom="column">
                  <wp:posOffset>4853305</wp:posOffset>
                </wp:positionH>
                <wp:positionV relativeFrom="paragraph">
                  <wp:posOffset>1214755</wp:posOffset>
                </wp:positionV>
                <wp:extent cx="1270000" cy="419100"/>
                <wp:effectExtent l="0" t="0" r="25400" b="19050"/>
                <wp:wrapNone/>
                <wp:docPr id="1585852015" name="Textfeld 2"/>
                <wp:cNvGraphicFramePr/>
                <a:graphic xmlns:a="http://schemas.openxmlformats.org/drawingml/2006/main">
                  <a:graphicData uri="http://schemas.microsoft.com/office/word/2010/wordprocessingShape">
                    <wps:wsp>
                      <wps:cNvSpPr txBox="1"/>
                      <wps:spPr>
                        <a:xfrm>
                          <a:off x="0" y="0"/>
                          <a:ext cx="1270000" cy="419100"/>
                        </a:xfrm>
                        <a:prstGeom prst="rect">
                          <a:avLst/>
                        </a:prstGeom>
                        <a:solidFill>
                          <a:schemeClr val="accent2">
                            <a:lumMod val="60000"/>
                            <a:lumOff val="40000"/>
                          </a:schemeClr>
                        </a:solidFill>
                        <a:ln w="6350">
                          <a:solidFill>
                            <a:schemeClr val="accent2">
                              <a:lumMod val="40000"/>
                              <a:lumOff val="60000"/>
                            </a:schemeClr>
                          </a:solidFill>
                        </a:ln>
                      </wps:spPr>
                      <wps:txbx>
                        <w:txbxContent>
                          <w:p w14:paraId="3BDBDBA4" w14:textId="16F6B5C2" w:rsidR="0075023C" w:rsidRPr="0075023C" w:rsidRDefault="0075023C">
                            <w:pPr>
                              <w:rPr>
                                <w:b/>
                                <w:bCs/>
                                <w:color w:val="FFFFFF" w:themeColor="background1"/>
                                <w:sz w:val="24"/>
                                <w:szCs w:val="24"/>
                              </w:rPr>
                            </w:pPr>
                            <w:r w:rsidRPr="0075023C">
                              <w:rPr>
                                <w:b/>
                                <w:bCs/>
                                <w:color w:val="FFFFFF" w:themeColor="background1"/>
                                <w:sz w:val="24"/>
                                <w:szCs w:val="24"/>
                              </w:rPr>
                              <w:t>Ausgabe 0</w:t>
                            </w:r>
                            <w:r w:rsidR="001D1B49">
                              <w:rPr>
                                <w:b/>
                                <w:bCs/>
                                <w:color w:val="FFFFFF" w:themeColor="background1"/>
                                <w:sz w:val="24"/>
                                <w:szCs w:val="24"/>
                              </w:rPr>
                              <w:t>9</w:t>
                            </w:r>
                            <w:r w:rsidRPr="0075023C">
                              <w:rPr>
                                <w:b/>
                                <w:bCs/>
                                <w:color w:val="FFFFFF" w:themeColor="background1"/>
                                <w:sz w:val="24"/>
                                <w:szCs w:val="24"/>
                              </w:rPr>
                              <w:t>/25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2316D16" id="_x0000_t202" coordsize="21600,21600" o:spt="202" path="m,l,21600r21600,l21600,xe">
                <v:stroke joinstyle="miter"/>
                <v:path gradientshapeok="t" o:connecttype="rect"/>
              </v:shapetype>
              <v:shape id="Textfeld 2" o:spid="_x0000_s1026" type="#_x0000_t202" style="position:absolute;margin-left:382.15pt;margin-top:95.65pt;width:100pt;height:33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9cLWAIAAPoEAAAOAAAAZHJzL2Uyb0RvYy54bWysVN9v2jAQfp+0/8Hy+0jCKG0jQsWomCax&#10;thKd+mwch0RyfJ5tSNhfv7MTAu2mPkzjwZzvzvfju+8yu2trSQ7C2ApURpNRTIlQHPJK7TL643n1&#10;6YYS65jKmQQlMnoUlt7NP36YNToVYyhB5sIQDKJs2uiMls7pNIosL0XN7Ai0UGgswNTM4dXsotyw&#10;BqPXMhrH8TRqwOTaABfWova+M9J5iF8UgrvHorDCEZlRrM2F04Rz689oPmPpzjBdVrwvg/1DFTWr&#10;FCYdQt0zx8jeVH+EqituwELhRhzqCIqi4iL0gN0k8ZtuNiXTIvSC4Fg9wGT/X1j+cNjoJ0Nc+wVa&#10;HKAHpNE2taj0/bSFqf0/VkrQjhAeB9hE6wj3j8bXMf4o4WibJLcJyhgmOr/WxrqvAmrihYwaHEtA&#10;ix3W1nWuJxefzIKs8lUlZbh4KoilNOTAcIiMc6HcODyX+/o75J1+GkoI40Q1Dr1TT05qrCaQykcK&#10;tb1KIhVpMjr9fBWHwK9sw7P3CxgysfSygKGu9wpAm1RY1Rl5L7l22/bj2EJ+xCkZ6AhsNV9VCOWa&#10;WffEDDIW0cctdI94FBKwF+glSkowv/6m9/5IJLRS0uAGZNT+3DMjKJHfFFLsNplM/MqEy+TqeowX&#10;c2nZXlrUvl4CzifBfdc8iN7fyZNYGKhfcFkXPiuamOKYO6PuJC5dt5e47FwsFsEJl0Qzt1YbzX1o&#10;zwdPlOf2hRnds8khDx/gtCssfUOqzte/VLDYOyiqwDgPcIdqjzsuWOBF/zHwG3x5D17nT9b8NwAA&#10;AP//AwBQSwMEFAAGAAgAAAAhADjfCC/fAAAACwEAAA8AAABkcnMvZG93bnJldi54bWxMj0tvwjAQ&#10;hO+V+h+srdRbcXg0gRAHAX2dS5G4mnhJosTrKDaQ9td320t7290ZzX6TrQbbigv2vnakYDyKQCAV&#10;ztRUKth/vDzMQfigyejWESr4RA+r/PYm06lxV3rHyy6UgkPIp1pBFUKXSumLCq32I9chsXZyvdWB&#10;176UptdXDretnERRLK2uiT9UusNthUWzO1sFz8081E2x2Tp6m2HsD0+Jff1S6v5uWC9BBBzCnxl+&#10;8BkdcmY6ujMZL1oFSTybspWFxZgHdix+L0cFk8dkCjLP5P8O+TcAAAD//wMAUEsBAi0AFAAGAAgA&#10;AAAhALaDOJL+AAAA4QEAABMAAAAAAAAAAAAAAAAAAAAAAFtDb250ZW50X1R5cGVzXS54bWxQSwEC&#10;LQAUAAYACAAAACEAOP0h/9YAAACUAQAACwAAAAAAAAAAAAAAAAAvAQAAX3JlbHMvLnJlbHNQSwEC&#10;LQAUAAYACAAAACEA7OPXC1gCAAD6BAAADgAAAAAAAAAAAAAAAAAuAgAAZHJzL2Uyb0RvYy54bWxQ&#10;SwECLQAUAAYACAAAACEAON8IL98AAAALAQAADwAAAAAAAAAAAAAAAACyBAAAZHJzL2Rvd25yZXYu&#10;eG1sUEsFBgAAAAAEAAQA8wAAAL4FAAAAAA==&#10;" fillcolor="#f1a983 [1941]" strokecolor="#f6c5ac [1301]" strokeweight=".5pt">
                <v:textbox>
                  <w:txbxContent>
                    <w:p w14:paraId="3BDBDBA4" w14:textId="16F6B5C2" w:rsidR="0075023C" w:rsidRPr="0075023C" w:rsidRDefault="0075023C">
                      <w:pPr>
                        <w:rPr>
                          <w:b/>
                          <w:bCs/>
                          <w:color w:val="FFFFFF" w:themeColor="background1"/>
                          <w:sz w:val="24"/>
                          <w:szCs w:val="24"/>
                        </w:rPr>
                      </w:pPr>
                      <w:r w:rsidRPr="0075023C">
                        <w:rPr>
                          <w:b/>
                          <w:bCs/>
                          <w:color w:val="FFFFFF" w:themeColor="background1"/>
                          <w:sz w:val="24"/>
                          <w:szCs w:val="24"/>
                        </w:rPr>
                        <w:t>Ausgabe 0</w:t>
                      </w:r>
                      <w:r w:rsidR="001D1B49">
                        <w:rPr>
                          <w:b/>
                          <w:bCs/>
                          <w:color w:val="FFFFFF" w:themeColor="background1"/>
                          <w:sz w:val="24"/>
                          <w:szCs w:val="24"/>
                        </w:rPr>
                        <w:t>9</w:t>
                      </w:r>
                      <w:r w:rsidRPr="0075023C">
                        <w:rPr>
                          <w:b/>
                          <w:bCs/>
                          <w:color w:val="FFFFFF" w:themeColor="background1"/>
                          <w:sz w:val="24"/>
                          <w:szCs w:val="24"/>
                        </w:rPr>
                        <w:t>/25</w:t>
                      </w:r>
                    </w:p>
                  </w:txbxContent>
                </v:textbox>
              </v:shape>
            </w:pict>
          </mc:Fallback>
        </mc:AlternateContent>
      </w:r>
      <w:r>
        <w:rPr>
          <w:noProof/>
        </w:rPr>
        <w:drawing>
          <wp:inline distT="0" distB="0" distL="0" distR="0" wp14:anchorId="65213788" wp14:editId="227AB414">
            <wp:extent cx="4845050" cy="1629436"/>
            <wp:effectExtent l="0" t="0" r="0" b="8890"/>
            <wp:docPr id="418062694" name="Grafik 1" descr="Ein Bild, das Text, Kleidung, Person, Menschliches Gesich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062694" name="Grafik 1" descr="Ein Bild, das Text, Kleidung, Person, Menschliches Gesicht enthält.&#10;&#10;KI-generierte Inhalte können fehlerhaft sein."/>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66971" cy="1636808"/>
                    </a:xfrm>
                    <a:prstGeom prst="rect">
                      <a:avLst/>
                    </a:prstGeom>
                  </pic:spPr>
                </pic:pic>
              </a:graphicData>
            </a:graphic>
          </wp:inline>
        </w:drawing>
      </w:r>
    </w:p>
    <w:tbl>
      <w:tblPr>
        <w:tblStyle w:val="Tabellenraster"/>
        <w:tblW w:w="0" w:type="auto"/>
        <w:tblLook w:val="04A0" w:firstRow="1" w:lastRow="0" w:firstColumn="1" w:lastColumn="0" w:noHBand="0" w:noVBand="1"/>
      </w:tblPr>
      <w:tblGrid>
        <w:gridCol w:w="9062"/>
      </w:tblGrid>
      <w:tr w:rsidR="0044459E" w14:paraId="228720B5" w14:textId="77777777" w:rsidTr="00AC5539">
        <w:tc>
          <w:tcPr>
            <w:tcW w:w="9062" w:type="dxa"/>
            <w:shd w:val="clear" w:color="auto" w:fill="F1A983" w:themeFill="accent2" w:themeFillTint="99"/>
          </w:tcPr>
          <w:p w14:paraId="7D64E3E1" w14:textId="261F81B2" w:rsidR="0044459E" w:rsidRPr="006430BD" w:rsidRDefault="006430BD" w:rsidP="00AC5539">
            <w:pPr>
              <w:jc w:val="center"/>
              <w:rPr>
                <w:b/>
                <w:bCs/>
                <w:sz w:val="32"/>
                <w:szCs w:val="32"/>
              </w:rPr>
            </w:pPr>
            <w:r w:rsidRPr="006430BD">
              <w:rPr>
                <w:b/>
                <w:bCs/>
                <w:sz w:val="32"/>
                <w:szCs w:val="32"/>
              </w:rPr>
              <w:t>MUSTER: Datenschutzverpflichtung „Mitarbeiter“</w:t>
            </w:r>
          </w:p>
        </w:tc>
      </w:tr>
      <w:tr w:rsidR="0044459E" w14:paraId="222F9DBE" w14:textId="77777777" w:rsidTr="0044459E">
        <w:tc>
          <w:tcPr>
            <w:tcW w:w="9062" w:type="dxa"/>
          </w:tcPr>
          <w:p w14:paraId="53986DC7" w14:textId="4AED4477" w:rsidR="006430BD" w:rsidRPr="009E5DFB" w:rsidRDefault="006430BD">
            <w:pPr>
              <w:rPr>
                <w:b/>
                <w:bCs/>
              </w:rPr>
            </w:pPr>
            <w:r w:rsidRPr="006430BD">
              <w:rPr>
                <w:b/>
                <w:bCs/>
              </w:rPr>
              <w:t xml:space="preserve">Vertraulichkeitserklärung „Mitarbeiter, Azubis, Praktikanten, ehrenamtliche Helfer“ </w:t>
            </w:r>
          </w:p>
          <w:p w14:paraId="74032EED" w14:textId="77777777" w:rsidR="0001390D" w:rsidRDefault="006430BD" w:rsidP="0001390D">
            <w:pPr>
              <w:jc w:val="center"/>
            </w:pPr>
            <w:r w:rsidRPr="006430BD">
              <w:t xml:space="preserve">Zwischen </w:t>
            </w:r>
          </w:p>
          <w:p w14:paraId="1DBC9C61" w14:textId="77777777" w:rsidR="005E065B" w:rsidRDefault="006430BD" w:rsidP="0001390D">
            <w:pPr>
              <w:jc w:val="center"/>
            </w:pPr>
            <w:r w:rsidRPr="006430BD">
              <w:t xml:space="preserve">der [Name der Pflegeeinrichtung] </w:t>
            </w:r>
          </w:p>
          <w:p w14:paraId="7CB8B4D2" w14:textId="77777777" w:rsidR="005E065B" w:rsidRDefault="006430BD" w:rsidP="0001390D">
            <w:pPr>
              <w:jc w:val="center"/>
            </w:pPr>
            <w:r w:rsidRPr="006430BD">
              <w:t xml:space="preserve">und </w:t>
            </w:r>
          </w:p>
          <w:p w14:paraId="27AABA6C" w14:textId="77777777" w:rsidR="005E065B" w:rsidRDefault="006430BD" w:rsidP="0001390D">
            <w:pPr>
              <w:jc w:val="center"/>
            </w:pPr>
            <w:r w:rsidRPr="006430BD">
              <w:t xml:space="preserve">[Name des Mitarbeiters] </w:t>
            </w:r>
          </w:p>
          <w:p w14:paraId="4B386FEF" w14:textId="54FDCCE8" w:rsidR="0001390D" w:rsidRDefault="006430BD" w:rsidP="0001390D">
            <w:pPr>
              <w:jc w:val="center"/>
            </w:pPr>
            <w:r w:rsidRPr="006430BD">
              <w:t>wird folgende Vereinbarung über die Wahrung der Vertraulichkeit getroffen.</w:t>
            </w:r>
          </w:p>
          <w:p w14:paraId="1A653158" w14:textId="77777777" w:rsidR="0001390D" w:rsidRDefault="0001390D"/>
          <w:p w14:paraId="3F665386" w14:textId="77777777" w:rsidR="0001390D" w:rsidRPr="0001390D" w:rsidRDefault="006430BD">
            <w:pPr>
              <w:rPr>
                <w:b/>
                <w:bCs/>
              </w:rPr>
            </w:pPr>
            <w:r w:rsidRPr="0001390D">
              <w:rPr>
                <w:b/>
                <w:bCs/>
              </w:rPr>
              <w:t xml:space="preserve">Präambel </w:t>
            </w:r>
          </w:p>
          <w:p w14:paraId="378439C7" w14:textId="65AE1EF4" w:rsidR="005E065B" w:rsidRDefault="006430BD">
            <w:r w:rsidRPr="006430BD">
              <w:t xml:space="preserve">Der Mitarbeiter ist im Rahmen seiner Tätigkeit für die Pflegeeinrichtung mit der Verarbeitung von personenbezogenen Daten, insbesondere Gesundheitsdaten von Pflegebedürftigen, betraut. Diese Daten unterliegen den strengen datenschutzrechtlichen Bestimmungen der EU-Datenschutz-Grundverordnung (DSGVO) und des Bundesdatenschutzgesetzes (BDSG). Um diesen Anforderungen gerecht zu werden und den vertraulichen Umgang mit diesen Daten zu gewährleisten, verpflichten sich die Pflegeeinrichtung und der Mitarbeiter zur Einhaltung folgender Regelungen: </w:t>
            </w:r>
          </w:p>
          <w:p w14:paraId="097C187C" w14:textId="77777777" w:rsidR="005E065B" w:rsidRDefault="005E065B"/>
          <w:p w14:paraId="152665E5" w14:textId="77777777" w:rsidR="005E065B" w:rsidRPr="005E065B" w:rsidRDefault="006430BD">
            <w:pPr>
              <w:rPr>
                <w:b/>
                <w:bCs/>
              </w:rPr>
            </w:pPr>
            <w:r w:rsidRPr="005E065B">
              <w:rPr>
                <w:b/>
                <w:bCs/>
              </w:rPr>
              <w:t xml:space="preserve">1. Informationen, die der Vertraulichkeit unterliegen </w:t>
            </w:r>
          </w:p>
          <w:p w14:paraId="39E0A4DF" w14:textId="77777777" w:rsidR="007944B4" w:rsidRDefault="006430BD">
            <w:r w:rsidRPr="006430BD">
              <w:t xml:space="preserve">Der Mitarbeiter verpflichtet sich, alle ihm im Rahmen seiner Tätigkeit bekannt gewordenen Informationen und Daten streng vertraulich zu behandeln. Das betrifft insbesondere, aber nicht abschließend (!): </w:t>
            </w:r>
          </w:p>
          <w:p w14:paraId="00A867F0" w14:textId="77777777" w:rsidR="007944B4" w:rsidRDefault="006430BD">
            <w:r w:rsidRPr="006430BD">
              <w:rPr>
                <w:rFonts w:ascii="Cambria Math" w:hAnsi="Cambria Math" w:cs="Cambria Math"/>
              </w:rPr>
              <w:t>▶</w:t>
            </w:r>
            <w:r w:rsidRPr="006430BD">
              <w:t xml:space="preserve"> pers</w:t>
            </w:r>
            <w:r w:rsidRPr="006430BD">
              <w:rPr>
                <w:rFonts w:ascii="Aptos" w:hAnsi="Aptos" w:cs="Aptos"/>
              </w:rPr>
              <w:t>ö</w:t>
            </w:r>
            <w:r w:rsidRPr="006430BD">
              <w:t>nliche und gesundheitliche Daten von Pflegebed</w:t>
            </w:r>
            <w:r w:rsidRPr="006430BD">
              <w:rPr>
                <w:rFonts w:ascii="Aptos" w:hAnsi="Aptos" w:cs="Aptos"/>
              </w:rPr>
              <w:t>ü</w:t>
            </w:r>
            <w:r w:rsidRPr="006430BD">
              <w:t>rftigen und deren Angeh</w:t>
            </w:r>
            <w:r w:rsidRPr="006430BD">
              <w:rPr>
                <w:rFonts w:ascii="Aptos" w:hAnsi="Aptos" w:cs="Aptos"/>
              </w:rPr>
              <w:t>ö</w:t>
            </w:r>
            <w:r w:rsidRPr="006430BD">
              <w:t xml:space="preserve">rigen </w:t>
            </w:r>
          </w:p>
          <w:p w14:paraId="5FD70ED1" w14:textId="77777777" w:rsidR="007944B4" w:rsidRDefault="006430BD">
            <w:r w:rsidRPr="006430BD">
              <w:rPr>
                <w:rFonts w:ascii="Cambria Math" w:hAnsi="Cambria Math" w:cs="Cambria Math"/>
              </w:rPr>
              <w:t>▶</w:t>
            </w:r>
            <w:r w:rsidRPr="006430BD">
              <w:t xml:space="preserve"> Informationen </w:t>
            </w:r>
            <w:r w:rsidRPr="006430BD">
              <w:rPr>
                <w:rFonts w:ascii="Aptos" w:hAnsi="Aptos" w:cs="Aptos"/>
              </w:rPr>
              <w:t>ü</w:t>
            </w:r>
            <w:r w:rsidRPr="006430BD">
              <w:t xml:space="preserve">ber medizinische Diagnosen, Behandlungen und Therapien </w:t>
            </w:r>
          </w:p>
          <w:p w14:paraId="04065CFE" w14:textId="77777777" w:rsidR="007944B4" w:rsidRDefault="006430BD">
            <w:r w:rsidRPr="006430BD">
              <w:rPr>
                <w:rFonts w:ascii="Cambria Math" w:hAnsi="Cambria Math" w:cs="Cambria Math"/>
              </w:rPr>
              <w:t>▶</w:t>
            </w:r>
            <w:r w:rsidRPr="006430BD">
              <w:t xml:space="preserve"> soziale und pers</w:t>
            </w:r>
            <w:r w:rsidRPr="006430BD">
              <w:rPr>
                <w:rFonts w:ascii="Aptos" w:hAnsi="Aptos" w:cs="Aptos"/>
              </w:rPr>
              <w:t>ö</w:t>
            </w:r>
            <w:r w:rsidRPr="006430BD">
              <w:t>nliche Umst</w:t>
            </w:r>
            <w:r w:rsidRPr="006430BD">
              <w:rPr>
                <w:rFonts w:ascii="Aptos" w:hAnsi="Aptos" w:cs="Aptos"/>
              </w:rPr>
              <w:t>ä</w:t>
            </w:r>
            <w:r w:rsidRPr="006430BD">
              <w:t>nde von Pflegebed</w:t>
            </w:r>
            <w:r w:rsidRPr="006430BD">
              <w:rPr>
                <w:rFonts w:ascii="Aptos" w:hAnsi="Aptos" w:cs="Aptos"/>
              </w:rPr>
              <w:t>ü</w:t>
            </w:r>
            <w:r w:rsidRPr="006430BD">
              <w:t>rftigen und deren Angeh</w:t>
            </w:r>
            <w:r w:rsidRPr="006430BD">
              <w:rPr>
                <w:rFonts w:ascii="Aptos" w:hAnsi="Aptos" w:cs="Aptos"/>
              </w:rPr>
              <w:t>ö</w:t>
            </w:r>
            <w:r w:rsidRPr="006430BD">
              <w:t xml:space="preserve">rigen </w:t>
            </w:r>
          </w:p>
          <w:p w14:paraId="455DDD32" w14:textId="77777777" w:rsidR="007944B4" w:rsidRDefault="006430BD">
            <w:r w:rsidRPr="006430BD">
              <w:rPr>
                <w:rFonts w:ascii="Cambria Math" w:hAnsi="Cambria Math" w:cs="Cambria Math"/>
              </w:rPr>
              <w:t>▶</w:t>
            </w:r>
            <w:r w:rsidRPr="006430BD">
              <w:t xml:space="preserve"> betriebsinterne Informationen und Daten der Pflegeeinrichtung </w:t>
            </w:r>
          </w:p>
          <w:p w14:paraId="2CDEE01C" w14:textId="77777777" w:rsidR="007B047B" w:rsidRDefault="006430BD">
            <w:r w:rsidRPr="006430BD">
              <w:rPr>
                <w:rFonts w:ascii="Cambria Math" w:hAnsi="Cambria Math" w:cs="Cambria Math"/>
              </w:rPr>
              <w:t>▶</w:t>
            </w:r>
            <w:r w:rsidRPr="006430BD">
              <w:t xml:space="preserve"> personenbezogene und gesundheitliche Daten und Informationen </w:t>
            </w:r>
            <w:r w:rsidRPr="006430BD">
              <w:rPr>
                <w:rFonts w:ascii="Aptos" w:hAnsi="Aptos" w:cs="Aptos"/>
              </w:rPr>
              <w:t>ü</w:t>
            </w:r>
            <w:r w:rsidRPr="006430BD">
              <w:t xml:space="preserve">ber Mitarbeiter der Pflegeeinrichtung </w:t>
            </w:r>
          </w:p>
          <w:p w14:paraId="5DAF68E8" w14:textId="77777777" w:rsidR="007B047B" w:rsidRDefault="007B047B"/>
          <w:p w14:paraId="37ADD2C2" w14:textId="77777777" w:rsidR="007B047B" w:rsidRDefault="006430BD">
            <w:r w:rsidRPr="006430BD">
              <w:t xml:space="preserve">Diese Vertraulichkeitsverpflichtung gilt unabhängig davon, in welcher Form die Informationen dem Mitarbeiter bekannt werden (schriftlich, mündlich, elektronisch oder in sonstiger Form). </w:t>
            </w:r>
          </w:p>
          <w:p w14:paraId="67E600E0" w14:textId="77777777" w:rsidR="007B047B" w:rsidRDefault="007B047B"/>
          <w:p w14:paraId="135F1030" w14:textId="77777777" w:rsidR="009E5DFB" w:rsidRPr="009E5DFB" w:rsidRDefault="006430BD">
            <w:pPr>
              <w:rPr>
                <w:b/>
                <w:bCs/>
              </w:rPr>
            </w:pPr>
            <w:r w:rsidRPr="009E5DFB">
              <w:rPr>
                <w:b/>
                <w:bCs/>
              </w:rPr>
              <w:t xml:space="preserve">2. Zweckbindung der Datenverarbeitung </w:t>
            </w:r>
          </w:p>
          <w:p w14:paraId="06CB758B" w14:textId="77777777" w:rsidR="00454A47" w:rsidRDefault="006430BD">
            <w:r w:rsidRPr="006430BD">
              <w:t xml:space="preserve">Der Mitarbeiter verpflichtet sich, personenbezogene Daten ausschließlich im Rahmen der Erfüllung seiner beruflichen Aufgaben zu verarbeiten. Die Weitergabe oder </w:t>
            </w:r>
            <w:r w:rsidRPr="006430BD">
              <w:lastRenderedPageBreak/>
              <w:t xml:space="preserve">Offenlegung dieser Daten an Dritte oder gegenüber Dritten ist nur mit ausdrücklicher vorheriger Genehmigung des Arbeitgebers gestattet. Der Mitarbeiter darf die ihm zugänglichen Daten nicht für private Zwecke nutzen und ist verpflichtet, das Prinzip der Zweckbindung gemäß Art. 5 DSGVO einzuhalten. Das heißt, er darf Daten nur für den Zweck nutzen, zu dem sie erhoben wurden. 3. Schutz der Daten im Pflegealltag Der Mitarbeiter verpflichtet sich, alle erforderlichen Maßnahmen zu ergreifen, um die ihm bekannt gewordenen Daten vor unbefugtem Zugriff, Verlust oder Missbrauch zu schützen. Dazu zählen insbesondere die Einhaltung einrichtungsinterner Sicherheitsrichtlinien sowie die Verwendung sicherer Passwörter. </w:t>
            </w:r>
          </w:p>
          <w:p w14:paraId="618E4C40" w14:textId="381488A8" w:rsidR="009E5DFB" w:rsidRDefault="006430BD">
            <w:r w:rsidRPr="006430BD">
              <w:t xml:space="preserve">Der Mitarbeiter verpflichtet sich, bei Verdacht auf einen Verstoß gegen datenschutzrechtliche Vorgaben oder eine unbefugte Weitergabe von Daten (durch sich selbst oder durch andere Mitarbeiter) unverzüglich den Datenschutzbeauftragten (Herrn/Frau XYZ, E-Mail: …) der Pflegeeinrichtung sowie den direkten Vorgesetzten zu informieren. </w:t>
            </w:r>
          </w:p>
          <w:p w14:paraId="0D9815D6" w14:textId="77777777" w:rsidR="00454A47" w:rsidRDefault="00454A47"/>
          <w:p w14:paraId="254B3511" w14:textId="77777777" w:rsidR="009E5DFB" w:rsidRPr="00454A47" w:rsidRDefault="006430BD">
            <w:pPr>
              <w:rPr>
                <w:b/>
                <w:bCs/>
              </w:rPr>
            </w:pPr>
            <w:r w:rsidRPr="00454A47">
              <w:rPr>
                <w:b/>
                <w:bCs/>
              </w:rPr>
              <w:t xml:space="preserve">4. Dauer der Vertraulichkeitsverpflichtung </w:t>
            </w:r>
          </w:p>
          <w:p w14:paraId="333CA021" w14:textId="1E9362DA" w:rsidR="00454A47" w:rsidRDefault="006430BD">
            <w:r w:rsidRPr="006430BD">
              <w:t>Die Vertraulichkeitsverpflichtung gilt sowohl während der Dauer des Arbeitsverhältnisses als auch nach dessen Beendigung uneingeschränkt. Nach Beendigung des Arbeitsverhältnisses hat der Mitarbeiter sämtliche Unterlagen, Datenträger und sonstige Informationen, die personenbezogene oder sonst vertrauliche Daten enthalten, unverzüglich und vollständig an die Pflegeeinrichtung herauszugeben.</w:t>
            </w:r>
          </w:p>
          <w:p w14:paraId="6ECA34DA" w14:textId="77777777" w:rsidR="00454A47" w:rsidRDefault="00454A47"/>
          <w:p w14:paraId="5286F5E0" w14:textId="77777777" w:rsidR="00454A47" w:rsidRPr="00454A47" w:rsidRDefault="006430BD">
            <w:pPr>
              <w:rPr>
                <w:b/>
                <w:bCs/>
              </w:rPr>
            </w:pPr>
            <w:r w:rsidRPr="00454A47">
              <w:rPr>
                <w:b/>
                <w:bCs/>
              </w:rPr>
              <w:t xml:space="preserve">5. Nutzung privater Smartphones/Speichermedien </w:t>
            </w:r>
          </w:p>
          <w:p w14:paraId="7357694B" w14:textId="52570991" w:rsidR="001833F0" w:rsidRDefault="006430BD">
            <w:r w:rsidRPr="006430BD">
              <w:t xml:space="preserve">Die Nutzung privater Smartphones ist während der Arbeit in der Pflegeeinrichtung grundsätzlich untersagt. Ausgenommen hiervon sind die Pausen. Es ist nicht gestattet, Pflegebedürftige zu fotografieren oder Videos von ihnen zu machen und diese in sozialen Netzwerken zu veröffentlichen. Es ist nicht gestattet, Daten, die dem Mitarbeiter im Zuge seiner Arbeit bekannt werden, auf privaten Speichermedien zu speichern. </w:t>
            </w:r>
          </w:p>
          <w:p w14:paraId="7A60101C" w14:textId="77777777" w:rsidR="001833F0" w:rsidRDefault="001833F0"/>
          <w:p w14:paraId="38F0DFA0" w14:textId="77777777" w:rsidR="001833F0" w:rsidRPr="001833F0" w:rsidRDefault="006430BD">
            <w:pPr>
              <w:rPr>
                <w:b/>
                <w:bCs/>
              </w:rPr>
            </w:pPr>
            <w:r w:rsidRPr="001833F0">
              <w:rPr>
                <w:b/>
                <w:bCs/>
              </w:rPr>
              <w:t xml:space="preserve">6. Konsequenzen bei Verstößen </w:t>
            </w:r>
          </w:p>
          <w:p w14:paraId="0340A36A" w14:textId="77777777" w:rsidR="00D72939" w:rsidRDefault="006430BD">
            <w:r w:rsidRPr="006430BD">
              <w:t xml:space="preserve">Verstößt der Mitarbeiter gegen die Vertraulichkeitsverpflichtung, können arbeitsrechtliche Sanktionen bis hin zur fristlosen Kündigung die Folge sein. Darüber hinaus können Verstöße gegen die datenschutzrechtlichen Vorgaben zu zivilrechtlichen Schadenersatzansprüchen und strafrechtlichen Konsequenzen führen. </w:t>
            </w:r>
          </w:p>
          <w:p w14:paraId="13BBA8E4" w14:textId="77777777" w:rsidR="00D72939" w:rsidRDefault="00D72939"/>
          <w:p w14:paraId="66851456" w14:textId="77777777" w:rsidR="00D72939" w:rsidRPr="00D72939" w:rsidRDefault="006430BD">
            <w:pPr>
              <w:rPr>
                <w:b/>
                <w:bCs/>
              </w:rPr>
            </w:pPr>
            <w:r w:rsidRPr="00D72939">
              <w:rPr>
                <w:b/>
                <w:bCs/>
              </w:rPr>
              <w:t xml:space="preserve">7. Sonstige Bestimmungen </w:t>
            </w:r>
          </w:p>
          <w:p w14:paraId="4F63D0D7" w14:textId="77777777" w:rsidR="007A4343" w:rsidRDefault="006430BD">
            <w:r w:rsidRPr="006430BD">
              <w:t>Änderungen oder Ergänzungen der Vertraulichkeitserkl</w:t>
            </w:r>
            <w:r w:rsidR="00D72939">
              <w:t>ä</w:t>
            </w:r>
            <w:r w:rsidRPr="006430BD">
              <w:t xml:space="preserve">rung bedürfen der Schriftform. Sollten einzelne Bestimmungen dieser Vereinbarung unwirksam sein oder werden, bleibt die Wirksamkeit der übrigen Bestimmungen hiervon unberührt. Die unwirksame Bestimmung ist durch eine wirksame zu ersetzen, die dem Zweck der unwirksamen Bestimmung möglichst </w:t>
            </w:r>
            <w:proofErr w:type="gramStart"/>
            <w:r w:rsidRPr="006430BD">
              <w:t>nahe kommt</w:t>
            </w:r>
            <w:proofErr w:type="gramEnd"/>
            <w:r w:rsidRPr="006430BD">
              <w:t xml:space="preserve">. </w:t>
            </w:r>
          </w:p>
          <w:p w14:paraId="2D0C15A8" w14:textId="31D18EE6" w:rsidR="007A4343" w:rsidRPr="007A4343" w:rsidRDefault="006430BD">
            <w:pPr>
              <w:rPr>
                <w:i/>
                <w:iCs/>
              </w:rPr>
            </w:pPr>
            <w:r w:rsidRPr="007A4343">
              <w:rPr>
                <w:i/>
                <w:iCs/>
              </w:rPr>
              <w:t xml:space="preserve">Der Mitarbeiter erklärt darüber hinaus Folgendes: „Ich habe die Datenschutzrichtlinien der Pflegeeinrichtung und die datenschutzrechtlichen Bestimmungen der DSGVO und des BDSG zur Kenntnis genommen und verpflichte </w:t>
            </w:r>
            <w:r w:rsidRPr="007A4343">
              <w:rPr>
                <w:i/>
                <w:iCs/>
              </w:rPr>
              <w:lastRenderedPageBreak/>
              <w:t xml:space="preserve">mich, diese während meiner Tätigkeit und nach Beendigung meines Arbeitsverhältnisses einzuhalten.“ </w:t>
            </w:r>
          </w:p>
          <w:p w14:paraId="34FE7DDF" w14:textId="43A7AC5E" w:rsidR="0044459E" w:rsidRDefault="006430BD">
            <w:r w:rsidRPr="006430BD">
              <w:t xml:space="preserve">Ort, Datum [Unterschrift </w:t>
            </w:r>
            <w:proofErr w:type="gramStart"/>
            <w:r w:rsidRPr="006430BD">
              <w:t>Mitarbeiter]/</w:t>
            </w:r>
            <w:proofErr w:type="gramEnd"/>
            <w:r w:rsidRPr="006430BD">
              <w:t>[Unterschrift Pflegeeinrichtung]</w:t>
            </w:r>
          </w:p>
        </w:tc>
      </w:tr>
    </w:tbl>
    <w:p w14:paraId="27C28B9B" w14:textId="77777777" w:rsidR="0075023C" w:rsidRDefault="0075023C"/>
    <w:sectPr w:rsidR="0075023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23C"/>
    <w:rsid w:val="0001390D"/>
    <w:rsid w:val="000E2430"/>
    <w:rsid w:val="001633EE"/>
    <w:rsid w:val="001833F0"/>
    <w:rsid w:val="001D1B49"/>
    <w:rsid w:val="001D2F1E"/>
    <w:rsid w:val="001F0088"/>
    <w:rsid w:val="00281EF3"/>
    <w:rsid w:val="00296C25"/>
    <w:rsid w:val="002B1C14"/>
    <w:rsid w:val="002E0352"/>
    <w:rsid w:val="0044459E"/>
    <w:rsid w:val="00454A47"/>
    <w:rsid w:val="005139D9"/>
    <w:rsid w:val="005E065B"/>
    <w:rsid w:val="006430BD"/>
    <w:rsid w:val="006E6C54"/>
    <w:rsid w:val="007138E8"/>
    <w:rsid w:val="0075023C"/>
    <w:rsid w:val="00792794"/>
    <w:rsid w:val="007944B4"/>
    <w:rsid w:val="007A4343"/>
    <w:rsid w:val="007B047B"/>
    <w:rsid w:val="00815980"/>
    <w:rsid w:val="009262D4"/>
    <w:rsid w:val="00940908"/>
    <w:rsid w:val="00945DC8"/>
    <w:rsid w:val="009D3A29"/>
    <w:rsid w:val="009E5DFB"/>
    <w:rsid w:val="00A57442"/>
    <w:rsid w:val="00AC5539"/>
    <w:rsid w:val="00AD4B7C"/>
    <w:rsid w:val="00B34EA3"/>
    <w:rsid w:val="00B67AAD"/>
    <w:rsid w:val="00BB4DB8"/>
    <w:rsid w:val="00BE46CE"/>
    <w:rsid w:val="00C74280"/>
    <w:rsid w:val="00CF02E1"/>
    <w:rsid w:val="00D72939"/>
    <w:rsid w:val="00DE75E3"/>
    <w:rsid w:val="00DF5CE7"/>
    <w:rsid w:val="00E40C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93254"/>
  <w15:chartTrackingRefBased/>
  <w15:docId w15:val="{834C4089-E8B1-4562-A903-F4FB5E473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502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502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5023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5023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5023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5023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5023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5023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5023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5023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5023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5023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5023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5023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5023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5023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5023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5023C"/>
    <w:rPr>
      <w:rFonts w:eastAsiaTheme="majorEastAsia" w:cstheme="majorBidi"/>
      <w:color w:val="272727" w:themeColor="text1" w:themeTint="D8"/>
    </w:rPr>
  </w:style>
  <w:style w:type="paragraph" w:styleId="Titel">
    <w:name w:val="Title"/>
    <w:basedOn w:val="Standard"/>
    <w:next w:val="Standard"/>
    <w:link w:val="TitelZchn"/>
    <w:uiPriority w:val="10"/>
    <w:qFormat/>
    <w:rsid w:val="007502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5023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5023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5023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5023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5023C"/>
    <w:rPr>
      <w:i/>
      <w:iCs/>
      <w:color w:val="404040" w:themeColor="text1" w:themeTint="BF"/>
    </w:rPr>
  </w:style>
  <w:style w:type="paragraph" w:styleId="Listenabsatz">
    <w:name w:val="List Paragraph"/>
    <w:basedOn w:val="Standard"/>
    <w:uiPriority w:val="34"/>
    <w:qFormat/>
    <w:rsid w:val="0075023C"/>
    <w:pPr>
      <w:ind w:left="720"/>
      <w:contextualSpacing/>
    </w:pPr>
  </w:style>
  <w:style w:type="character" w:styleId="IntensiveHervorhebung">
    <w:name w:val="Intense Emphasis"/>
    <w:basedOn w:val="Absatz-Standardschriftart"/>
    <w:uiPriority w:val="21"/>
    <w:qFormat/>
    <w:rsid w:val="0075023C"/>
    <w:rPr>
      <w:i/>
      <w:iCs/>
      <w:color w:val="0F4761" w:themeColor="accent1" w:themeShade="BF"/>
    </w:rPr>
  </w:style>
  <w:style w:type="paragraph" w:styleId="IntensivesZitat">
    <w:name w:val="Intense Quote"/>
    <w:basedOn w:val="Standard"/>
    <w:next w:val="Standard"/>
    <w:link w:val="IntensivesZitatZchn"/>
    <w:uiPriority w:val="30"/>
    <w:qFormat/>
    <w:rsid w:val="007502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5023C"/>
    <w:rPr>
      <w:i/>
      <w:iCs/>
      <w:color w:val="0F4761" w:themeColor="accent1" w:themeShade="BF"/>
    </w:rPr>
  </w:style>
  <w:style w:type="character" w:styleId="IntensiverVerweis">
    <w:name w:val="Intense Reference"/>
    <w:basedOn w:val="Absatz-Standardschriftart"/>
    <w:uiPriority w:val="32"/>
    <w:qFormat/>
    <w:rsid w:val="0075023C"/>
    <w:rPr>
      <w:b/>
      <w:bCs/>
      <w:smallCaps/>
      <w:color w:val="0F4761" w:themeColor="accent1" w:themeShade="BF"/>
      <w:spacing w:val="5"/>
    </w:rPr>
  </w:style>
  <w:style w:type="table" w:styleId="Tabellenraster">
    <w:name w:val="Table Grid"/>
    <w:basedOn w:val="NormaleTabelle"/>
    <w:uiPriority w:val="39"/>
    <w:rsid w:val="0075023C"/>
    <w:pPr>
      <w:spacing w:after="0" w:line="240" w:lineRule="auto"/>
    </w:pPr>
    <w:rPr>
      <w:rFonts w:eastAsiaTheme="minorEastAsia"/>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4B0664CA10368488EA98BE4DE31D7F2" ma:contentTypeVersion="18" ma:contentTypeDescription="Ein neues Dokument erstellen." ma:contentTypeScope="" ma:versionID="f15cb783b58b49f8085f5678a164a7c1">
  <xsd:schema xmlns:xsd="http://www.w3.org/2001/XMLSchema" xmlns:xs="http://www.w3.org/2001/XMLSchema" xmlns:p="http://schemas.microsoft.com/office/2006/metadata/properties" xmlns:ns2="25b35a61-881d-4e0a-be93-7f4ad4d36cf2" xmlns:ns3="8f48cb59-1f79-4fdb-92f2-18f977c06069" targetNamespace="http://schemas.microsoft.com/office/2006/metadata/properties" ma:root="true" ma:fieldsID="3f43ebdb071680384e802e6dd3647569" ns2:_="" ns3:_="">
    <xsd:import namespace="25b35a61-881d-4e0a-be93-7f4ad4d36cf2"/>
    <xsd:import namespace="8f48cb59-1f79-4fdb-92f2-18f977c060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35a61-881d-4e0a-be93-7f4ad4d36c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48cb59-1f79-4fdb-92f2-18f977c06069"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95acbfaa-a184-410c-b771-3b9847d731c4}" ma:internalName="TaxCatchAll" ma:showField="CatchAllData" ma:web="8f48cb59-1f79-4fdb-92f2-18f977c060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b35a61-881d-4e0a-be93-7f4ad4d36cf2">
      <Terms xmlns="http://schemas.microsoft.com/office/infopath/2007/PartnerControls"/>
    </lcf76f155ced4ddcb4097134ff3c332f>
    <TaxCatchAll xmlns="8f48cb59-1f79-4fdb-92f2-18f977c06069" xsi:nil="true"/>
  </documentManagement>
</p:properties>
</file>

<file path=customXml/itemProps1.xml><?xml version="1.0" encoding="utf-8"?>
<ds:datastoreItem xmlns:ds="http://schemas.openxmlformats.org/officeDocument/2006/customXml" ds:itemID="{D8DA8CC9-001F-495D-AB69-76CC954F7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b35a61-881d-4e0a-be93-7f4ad4d36cf2"/>
    <ds:schemaRef ds:uri="8f48cb59-1f79-4fdb-92f2-18f977c06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739DDE-2385-4486-96D6-8F98CA7BDABB}">
  <ds:schemaRefs>
    <ds:schemaRef ds:uri="http://schemas.microsoft.com/sharepoint/v3/contenttype/forms"/>
  </ds:schemaRefs>
</ds:datastoreItem>
</file>

<file path=customXml/itemProps3.xml><?xml version="1.0" encoding="utf-8"?>
<ds:datastoreItem xmlns:ds="http://schemas.openxmlformats.org/officeDocument/2006/customXml" ds:itemID="{AFBE147D-A154-405D-9696-A73C91EF2E94}">
  <ds:schemaRefs>
    <ds:schemaRef ds:uri="http://schemas.microsoft.com/office/2006/metadata/properties"/>
    <ds:schemaRef ds:uri="http://schemas.microsoft.com/office/infopath/2007/PartnerControls"/>
    <ds:schemaRef ds:uri="25b35a61-881d-4e0a-be93-7f4ad4d36cf2"/>
    <ds:schemaRef ds:uri="8f48cb59-1f79-4fdb-92f2-18f977c0606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680</Words>
  <Characters>4285</Characters>
  <Application>Microsoft Office Word</Application>
  <DocSecurity>0</DocSecurity>
  <Lines>35</Lines>
  <Paragraphs>9</Paragraphs>
  <ScaleCrop>false</ScaleCrop>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NMA - Nathalia Martín Ayala</dc:creator>
  <cp:keywords/>
  <dc:description/>
  <cp:lastModifiedBy>NMA - Nathalia Martín Ayala</cp:lastModifiedBy>
  <cp:revision>13</cp:revision>
  <dcterms:created xsi:type="dcterms:W3CDTF">2025-08-06T06:34:00Z</dcterms:created>
  <dcterms:modified xsi:type="dcterms:W3CDTF">2025-08-06T06:42:00Z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0x01010004B0664CA10368488EA98BE4DE31D7F2</vt:lpwstr>
  </property>
  <property fmtid="{D5CDD505-2E9C-101B-9397-08002B2CF9AE}" pid="3" name="MediaServiceImageTags">
    <vt:lpwstr/>
  </property>
</Properties>
</file>