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695" w14:textId="30387D73" w:rsidR="009D3A29" w:rsidRDefault="0075023C">
      <w:r>
        <w:rPr>
          <w:noProof/>
        </w:rPr>
        <mc:AlternateContent>
          <mc:Choice Requires="wps">
            <w:drawing>
              <wp:anchor distT="0" distB="0" distL="114300" distR="114300" simplePos="0" relativeHeight="251658240" behindDoc="0" locked="0" layoutInCell="1" allowOverlap="1" wp14:anchorId="02316D16" wp14:editId="00DA629F">
                <wp:simplePos x="0" y="0"/>
                <wp:positionH relativeFrom="column">
                  <wp:posOffset>4853304</wp:posOffset>
                </wp:positionH>
                <wp:positionV relativeFrom="paragraph">
                  <wp:posOffset>1214755</wp:posOffset>
                </wp:positionV>
                <wp:extent cx="1685925" cy="419100"/>
                <wp:effectExtent l="0" t="0" r="28575" b="19050"/>
                <wp:wrapNone/>
                <wp:docPr id="1585852015" name="Textfeld 2"/>
                <wp:cNvGraphicFramePr/>
                <a:graphic xmlns:a="http://schemas.openxmlformats.org/drawingml/2006/main">
                  <a:graphicData uri="http://schemas.microsoft.com/office/word/2010/wordprocessingShape">
                    <wps:wsp>
                      <wps:cNvSpPr txBox="1"/>
                      <wps:spPr>
                        <a:xfrm>
                          <a:off x="0" y="0"/>
                          <a:ext cx="1685925" cy="419100"/>
                        </a:xfrm>
                        <a:prstGeom prst="rect">
                          <a:avLst/>
                        </a:prstGeom>
                        <a:solidFill>
                          <a:schemeClr val="accent2">
                            <a:lumMod val="60000"/>
                            <a:lumOff val="40000"/>
                          </a:schemeClr>
                        </a:solidFill>
                        <a:ln w="6350">
                          <a:solidFill>
                            <a:schemeClr val="accent2">
                              <a:lumMod val="40000"/>
                              <a:lumOff val="60000"/>
                            </a:schemeClr>
                          </a:solidFill>
                        </a:ln>
                      </wps:spPr>
                      <wps:txbx>
                        <w:txbxContent>
                          <w:p w14:paraId="3BDBDBA4" w14:textId="767DBADB" w:rsidR="0075023C" w:rsidRPr="0075023C" w:rsidRDefault="00275969">
                            <w:pPr>
                              <w:rPr>
                                <w:b/>
                                <w:bCs/>
                                <w:color w:val="FFFFFF" w:themeColor="background1"/>
                                <w:sz w:val="24"/>
                                <w:szCs w:val="24"/>
                              </w:rPr>
                            </w:pPr>
                            <w:r>
                              <w:rPr>
                                <w:b/>
                                <w:bCs/>
                                <w:color w:val="FFFFFF" w:themeColor="background1"/>
                                <w:sz w:val="24"/>
                                <w:szCs w:val="24"/>
                              </w:rPr>
                              <w:t>Sondera</w:t>
                            </w:r>
                            <w:r w:rsidR="0075023C" w:rsidRPr="0075023C">
                              <w:rPr>
                                <w:b/>
                                <w:bCs/>
                                <w:color w:val="FFFFFF" w:themeColor="background1"/>
                                <w:sz w:val="24"/>
                                <w:szCs w:val="24"/>
                              </w:rPr>
                              <w:t>usgabe 0</w:t>
                            </w:r>
                            <w:r w:rsidR="001D1B49">
                              <w:rPr>
                                <w:b/>
                                <w:bCs/>
                                <w:color w:val="FFFFFF" w:themeColor="background1"/>
                                <w:sz w:val="24"/>
                                <w:szCs w:val="24"/>
                              </w:rPr>
                              <w:t>9</w:t>
                            </w:r>
                            <w:r w:rsidR="0075023C" w:rsidRPr="0075023C">
                              <w:rPr>
                                <w:b/>
                                <w:bCs/>
                                <w:color w:val="FFFFFF" w:themeColor="background1"/>
                                <w:sz w:val="24"/>
                                <w:szCs w:val="24"/>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316D16" id="_x0000_t202" coordsize="21600,21600" o:spt="202" path="m,l,21600r21600,l21600,xe">
                <v:stroke joinstyle="miter"/>
                <v:path gradientshapeok="t" o:connecttype="rect"/>
              </v:shapetype>
              <v:shape id="Textfeld 2" o:spid="_x0000_s1026" type="#_x0000_t202" style="position:absolute;margin-left:382.15pt;margin-top:95.65pt;width:132.7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" fillcolor="#f1a983 [1941]" strokecolor="#f6c5ac [1301]" strokeweight=".5pt">
                <v:textbox>
                  <w:txbxContent>
                    <w:p w14:paraId="3BDBDBA4" w14:textId="767DBADB" w:rsidR="0075023C" w:rsidRPr="0075023C" w:rsidRDefault="00275969">
                      <w:pPr>
                        <w:rPr>
                          <w:b/>
                          <w:bCs/>
                          <w:color w:val="FFFFFF" w:themeColor="background1"/>
                          <w:sz w:val="24"/>
                          <w:szCs w:val="24"/>
                        </w:rPr>
                      </w:pPr>
                      <w:r>
                        <w:rPr>
                          <w:b/>
                          <w:bCs/>
                          <w:color w:val="FFFFFF" w:themeColor="background1"/>
                          <w:sz w:val="24"/>
                          <w:szCs w:val="24"/>
                        </w:rPr>
                        <w:t>Sondera</w:t>
                      </w:r>
                      <w:r w:rsidR="0075023C" w:rsidRPr="0075023C">
                        <w:rPr>
                          <w:b/>
                          <w:bCs/>
                          <w:color w:val="FFFFFF" w:themeColor="background1"/>
                          <w:sz w:val="24"/>
                          <w:szCs w:val="24"/>
                        </w:rPr>
                        <w:t>usgabe 0</w:t>
                      </w:r>
                      <w:r w:rsidR="001D1B49">
                        <w:rPr>
                          <w:b/>
                          <w:bCs/>
                          <w:color w:val="FFFFFF" w:themeColor="background1"/>
                          <w:sz w:val="24"/>
                          <w:szCs w:val="24"/>
                        </w:rPr>
                        <w:t>9</w:t>
                      </w:r>
                      <w:r w:rsidR="0075023C" w:rsidRPr="0075023C">
                        <w:rPr>
                          <w:b/>
                          <w:bCs/>
                          <w:color w:val="FFFFFF" w:themeColor="background1"/>
                          <w:sz w:val="24"/>
                          <w:szCs w:val="24"/>
                        </w:rPr>
                        <w:t>/25</w:t>
                      </w:r>
                    </w:p>
                  </w:txbxContent>
                </v:textbox>
              </v:shape>
            </w:pict>
          </mc:Fallback>
        </mc:AlternateContent>
      </w:r>
      <w:r>
        <w:rPr>
          <w:noProof/>
        </w:rPr>
        <w:drawing>
          <wp:inline distT="0" distB="0" distL="0" distR="0" wp14:anchorId="65213788" wp14:editId="227AB414">
            <wp:extent cx="4845050" cy="1629436"/>
            <wp:effectExtent l="0" t="0" r="0" b="8890"/>
            <wp:docPr id="418062694" name="Grafik 1" descr="Ein Bild, das Text, Kleidung, Perso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62694" name="Grafik 1" descr="Ein Bild, das Text, Kleidung, Person, Menschliches Gesich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6971" cy="1636808"/>
                    </a:xfrm>
                    <a:prstGeom prst="rect">
                      <a:avLst/>
                    </a:prstGeom>
                  </pic:spPr>
                </pic:pic>
              </a:graphicData>
            </a:graphic>
          </wp:inline>
        </w:drawing>
      </w:r>
    </w:p>
    <w:tbl>
      <w:tblPr>
        <w:tblStyle w:val="Tabellenraster"/>
        <w:tblW w:w="0" w:type="auto"/>
        <w:tblLook w:val="04A0" w:firstRow="1" w:lastRow="0" w:firstColumn="1" w:lastColumn="0" w:noHBand="0" w:noVBand="1"/>
      </w:tblPr>
      <w:tblGrid>
        <w:gridCol w:w="9062"/>
      </w:tblGrid>
      <w:tr w:rsidR="00651C65" w14:paraId="7279844F" w14:textId="77777777" w:rsidTr="002C63B9">
        <w:tc>
          <w:tcPr>
            <w:tcW w:w="9062" w:type="dxa"/>
            <w:shd w:val="clear" w:color="auto" w:fill="F6C5AC" w:themeFill="accent2" w:themeFillTint="66"/>
          </w:tcPr>
          <w:p w14:paraId="22BAC738" w14:textId="543722B0" w:rsidR="00651C65" w:rsidRPr="002C63B9" w:rsidRDefault="00C578C2" w:rsidP="002C63B9">
            <w:pPr>
              <w:jc w:val="center"/>
              <w:rPr>
                <w:b/>
                <w:bCs/>
                <w:sz w:val="32"/>
                <w:szCs w:val="32"/>
              </w:rPr>
            </w:pPr>
            <w:r w:rsidRPr="00C578C2">
              <w:rPr>
                <w:b/>
                <w:bCs/>
                <w:sz w:val="32"/>
                <w:szCs w:val="32"/>
              </w:rPr>
              <w:t>MUSTER: Auftragsverarbeitungsvertrag nach Art. 28 Abs. 3 DSGVO</w:t>
            </w:r>
          </w:p>
        </w:tc>
      </w:tr>
      <w:tr w:rsidR="00651C65" w14:paraId="36B912F5" w14:textId="77777777" w:rsidTr="00651C65">
        <w:tc>
          <w:tcPr>
            <w:tcW w:w="9062" w:type="dxa"/>
          </w:tcPr>
          <w:p w14:paraId="24F48782" w14:textId="77777777" w:rsidR="00AA0549" w:rsidRDefault="002304DA">
            <w:r w:rsidRPr="002304DA">
              <w:t xml:space="preserve">Auftraggeber: </w:t>
            </w:r>
          </w:p>
          <w:p w14:paraId="0552CDE8" w14:textId="77777777" w:rsidR="00D346B8" w:rsidRDefault="00D346B8"/>
          <w:p w14:paraId="01699F29" w14:textId="77777777" w:rsidR="00AA0549" w:rsidRDefault="002304DA">
            <w:r w:rsidRPr="002304DA">
              <w:t xml:space="preserve">Auftragnehmer (Auftragsverarbeiter): </w:t>
            </w:r>
          </w:p>
          <w:p w14:paraId="5168646C" w14:textId="77777777" w:rsidR="00AA0549" w:rsidRDefault="00AA0549"/>
          <w:p w14:paraId="75B02D89" w14:textId="55168EF8" w:rsidR="00AA0549" w:rsidRPr="00AA0549" w:rsidRDefault="00AA0549" w:rsidP="00AA0549">
            <w:pPr>
              <w:rPr>
                <w:b/>
                <w:bCs/>
              </w:rPr>
            </w:pPr>
            <w:r>
              <w:rPr>
                <w:b/>
                <w:bCs/>
              </w:rPr>
              <w:t>1.</w:t>
            </w:r>
            <w:r w:rsidR="00BA1500" w:rsidRPr="00BA1500">
              <w:rPr>
                <w:b/>
                <w:bCs/>
                <w:color w:val="FFFFFF" w:themeColor="background1"/>
              </w:rPr>
              <w:t>_</w:t>
            </w:r>
            <w:r w:rsidR="002304DA" w:rsidRPr="00AA0549">
              <w:rPr>
                <w:b/>
                <w:bCs/>
              </w:rPr>
              <w:t xml:space="preserve">Gegenstand und Dauer der Vereinbarung </w:t>
            </w:r>
          </w:p>
          <w:p w14:paraId="39E67873" w14:textId="77777777" w:rsidR="00AA0549" w:rsidRPr="00AA0549" w:rsidRDefault="002304DA" w:rsidP="00AA0549">
            <w:r w:rsidRPr="00AA0549">
              <w:t xml:space="preserve">Der Auftrag umfasst Folgendes: konkrete Beschreibung, z.B. Lohnbuchhaltung und Erstellung der Gehaltsnachweise. </w:t>
            </w:r>
          </w:p>
          <w:p w14:paraId="537A23E8" w14:textId="77777777" w:rsidR="00AA0549" w:rsidRPr="00AA0549" w:rsidRDefault="002304DA" w:rsidP="00AA0549">
            <w:r w:rsidRPr="00AA0549">
              <w:t xml:space="preserve">Der Auftragnehmer verarbeitet dabei personenbezogene Daten für den Auftraggeber im Sinne von Art. 4 Nr. 2 und Art. 28 DSGVO auf Grundlage dieses Vertrags. Die vertraglich vereinbarte Dienstleistung wird ausschließlich in einem Mitgliedstaat der Europäischen Union oder in einem Vertragsstaat des Abkommens über den Europäischen Wirtschaftsraum erbracht. Jede Verlagerung der Dienstleistung oder von Teilarbeiten dazu in ein Drittland bedarf der vorherigen Zustimmung des Auftraggebers und darf nur erfolgen, wenn die besonderen Voraussetzungen der Art. 44ff. DSGVO erfüllt sind. </w:t>
            </w:r>
          </w:p>
          <w:p w14:paraId="61C1EA18" w14:textId="77777777" w:rsidR="00AA0549" w:rsidRDefault="00AA0549" w:rsidP="00AA0549">
            <w:pPr>
              <w:pStyle w:val="Listenabsatz"/>
            </w:pPr>
          </w:p>
          <w:p w14:paraId="64E1A2E6" w14:textId="51112F38" w:rsidR="00AA0549" w:rsidRPr="00BA1500" w:rsidRDefault="002304DA" w:rsidP="00BA1500">
            <w:pPr>
              <w:rPr>
                <w:b/>
                <w:bCs/>
              </w:rPr>
            </w:pPr>
            <w:r w:rsidRPr="00BA1500">
              <w:rPr>
                <w:b/>
                <w:bCs/>
              </w:rPr>
              <w:t xml:space="preserve">Dauer des Auftrags </w:t>
            </w:r>
          </w:p>
          <w:p w14:paraId="32AC1E8C" w14:textId="77777777" w:rsidR="00BA1500" w:rsidRDefault="002304DA" w:rsidP="00BA1500">
            <w:r w:rsidRPr="00BA1500">
              <w:t xml:space="preserve">Der Vertrag beginnt am … und endet am … oder wird auf unbestimmte Zeit geschlossen. Kündigungsfrist ist … </w:t>
            </w:r>
          </w:p>
          <w:p w14:paraId="5592D416" w14:textId="77777777" w:rsidR="00487E2B" w:rsidRDefault="002304DA" w:rsidP="00BA1500">
            <w:r w:rsidRPr="00BA1500">
              <w:t xml:space="preserve">Der Auftraggeber kann den Vertrag jederzeit ohne Einhaltung einer Frist kündigen, wenn ein schwerwiegender Verstoß des Auftragnehmers gegen Datenschutzvorschriften oder die Bestimmungen dieses Vertrags vorliegt, der Auftragnehmer eine Weisung des Auftraggebers nicht ausführen kann oder will oder der Auftragnehmer Kontrollrechte des Auftraggebers vertragswidrig verweigert. Insbesondere die Nichteinhaltung der in diesem Vertrag vereinbarten und aus Art. 28 DSGVO abgeleiteten Pflichten stellt einen schweren Verstoß dar. </w:t>
            </w:r>
          </w:p>
          <w:p w14:paraId="1C8A918E" w14:textId="77777777" w:rsidR="00487E2B" w:rsidRDefault="00487E2B" w:rsidP="00BA1500"/>
          <w:p w14:paraId="1D5C0DDC" w14:textId="77777777" w:rsidR="00487E2B" w:rsidRPr="00487E2B" w:rsidRDefault="002304DA" w:rsidP="00BA1500">
            <w:pPr>
              <w:rPr>
                <w:b/>
                <w:bCs/>
              </w:rPr>
            </w:pPr>
            <w:r w:rsidRPr="00487E2B">
              <w:rPr>
                <w:b/>
                <w:bCs/>
              </w:rPr>
              <w:t xml:space="preserve">2. Art und Zweck der Verarbeitung, Art der personenbezogenen Daten sowie Kategorien betroffener Personen: </w:t>
            </w:r>
          </w:p>
          <w:p w14:paraId="794A7F55" w14:textId="77777777" w:rsidR="00487E2B" w:rsidRDefault="002304DA" w:rsidP="00BA1500">
            <w:r w:rsidRPr="00BA1500">
              <w:t xml:space="preserve">Nähere Beschreibung von </w:t>
            </w:r>
          </w:p>
          <w:p w14:paraId="42E909AB" w14:textId="77777777" w:rsidR="00487E2B" w:rsidRDefault="002304DA" w:rsidP="00BA1500">
            <w:r w:rsidRPr="00BA1500">
              <w:rPr>
                <w:rFonts w:ascii="Cambria Math" w:hAnsi="Cambria Math" w:cs="Cambria Math"/>
              </w:rPr>
              <w:t>▶</w:t>
            </w:r>
            <w:r w:rsidRPr="00BA1500">
              <w:t xml:space="preserve"> Art der Verarbeitung (entsprechend der Definition von Art.</w:t>
            </w:r>
            <w:r w:rsidRPr="00BA1500">
              <w:rPr>
                <w:rFonts w:ascii="Aptos" w:hAnsi="Aptos" w:cs="Aptos"/>
              </w:rPr>
              <w:t> </w:t>
            </w:r>
            <w:r w:rsidRPr="00BA1500">
              <w:t>4 Nr.</w:t>
            </w:r>
            <w:r w:rsidRPr="00BA1500">
              <w:rPr>
                <w:rFonts w:ascii="Aptos" w:hAnsi="Aptos" w:cs="Aptos"/>
              </w:rPr>
              <w:t> </w:t>
            </w:r>
            <w:r w:rsidRPr="00BA1500">
              <w:t xml:space="preserve">2 DSGVO): </w:t>
            </w:r>
          </w:p>
          <w:p w14:paraId="0FC06B71" w14:textId="77777777" w:rsidR="00487E2B" w:rsidRDefault="002304DA" w:rsidP="00BA1500">
            <w:r w:rsidRPr="00BA1500">
              <w:rPr>
                <w:rFonts w:ascii="Cambria Math" w:hAnsi="Cambria Math" w:cs="Cambria Math"/>
              </w:rPr>
              <w:t>▶</w:t>
            </w:r>
            <w:r w:rsidRPr="00BA1500">
              <w:t xml:space="preserve"> Art der personenbezogenen Daten (entsprechend der Definition von Art.</w:t>
            </w:r>
            <w:r w:rsidRPr="00BA1500">
              <w:rPr>
                <w:rFonts w:ascii="Aptos" w:hAnsi="Aptos" w:cs="Aptos"/>
              </w:rPr>
              <w:t> </w:t>
            </w:r>
            <w:r w:rsidRPr="00BA1500">
              <w:t>4 Nr.</w:t>
            </w:r>
            <w:r w:rsidRPr="00BA1500">
              <w:rPr>
                <w:rFonts w:ascii="Aptos" w:hAnsi="Aptos" w:cs="Aptos"/>
              </w:rPr>
              <w:t> </w:t>
            </w:r>
            <w:r w:rsidRPr="00BA1500">
              <w:t xml:space="preserve">1, 13, 14 und 15 DSGVO): </w:t>
            </w:r>
          </w:p>
          <w:p w14:paraId="1BD6174C" w14:textId="77777777" w:rsidR="00487E2B" w:rsidRDefault="002304DA" w:rsidP="00BA1500">
            <w:r w:rsidRPr="00BA1500">
              <w:rPr>
                <w:rFonts w:ascii="Cambria Math" w:hAnsi="Cambria Math" w:cs="Cambria Math"/>
              </w:rPr>
              <w:t>▶</w:t>
            </w:r>
            <w:r w:rsidRPr="00BA1500">
              <w:t xml:space="preserve"> Kategorien betroffener Personen (entsprechend der Definition von Art.</w:t>
            </w:r>
            <w:r w:rsidRPr="00BA1500">
              <w:rPr>
                <w:rFonts w:ascii="Aptos" w:hAnsi="Aptos" w:cs="Aptos"/>
              </w:rPr>
              <w:t> </w:t>
            </w:r>
            <w:r w:rsidRPr="00BA1500">
              <w:t>4 Nr.</w:t>
            </w:r>
            <w:r w:rsidRPr="00BA1500">
              <w:rPr>
                <w:rFonts w:ascii="Aptos" w:hAnsi="Aptos" w:cs="Aptos"/>
              </w:rPr>
              <w:t> </w:t>
            </w:r>
            <w:r w:rsidRPr="00BA1500">
              <w:t xml:space="preserve">1 DSGVO): </w:t>
            </w:r>
          </w:p>
          <w:p w14:paraId="4A2FD9C2" w14:textId="77777777" w:rsidR="00487E2B" w:rsidRDefault="00487E2B" w:rsidP="00BA1500"/>
          <w:p w14:paraId="3FB471AE" w14:textId="77777777" w:rsidR="00487E2B" w:rsidRPr="00487E2B" w:rsidRDefault="002304DA" w:rsidP="00BA1500">
            <w:pPr>
              <w:rPr>
                <w:b/>
                <w:bCs/>
              </w:rPr>
            </w:pPr>
            <w:r w:rsidRPr="00487E2B">
              <w:rPr>
                <w:b/>
                <w:bCs/>
              </w:rPr>
              <w:lastRenderedPageBreak/>
              <w:t xml:space="preserve">3. Rechte und Pflichten sowie Weisungsbefugnisse des Auftraggebers </w:t>
            </w:r>
          </w:p>
          <w:p w14:paraId="734ECEB7" w14:textId="77777777" w:rsidR="00487E2B" w:rsidRDefault="002304DA" w:rsidP="00BA1500">
            <w:r w:rsidRPr="00BA1500">
              <w:t>F</w:t>
            </w:r>
            <w:r w:rsidRPr="00BA1500">
              <w:rPr>
                <w:rFonts w:ascii="Aptos" w:hAnsi="Aptos" w:cs="Aptos"/>
              </w:rPr>
              <w:t>ü</w:t>
            </w:r>
            <w:r w:rsidRPr="00BA1500">
              <w:t>r die Beurteilung der Zul</w:t>
            </w:r>
            <w:r w:rsidRPr="00BA1500">
              <w:rPr>
                <w:rFonts w:ascii="Aptos" w:hAnsi="Aptos" w:cs="Aptos"/>
              </w:rPr>
              <w:t>ä</w:t>
            </w:r>
            <w:r w:rsidRPr="00BA1500">
              <w:t>ssigkeit der Verarbeitung gem</w:t>
            </w:r>
            <w:r w:rsidRPr="00BA1500">
              <w:rPr>
                <w:rFonts w:ascii="Aptos" w:hAnsi="Aptos" w:cs="Aptos"/>
              </w:rPr>
              <w:t>äß</w:t>
            </w:r>
            <w:r w:rsidRPr="00BA1500">
              <w:t xml:space="preserve"> Art.</w:t>
            </w:r>
            <w:r w:rsidRPr="00BA1500">
              <w:rPr>
                <w:rFonts w:ascii="Aptos" w:hAnsi="Aptos" w:cs="Aptos"/>
              </w:rPr>
              <w:t> </w:t>
            </w:r>
            <w:r w:rsidRPr="00BA1500">
              <w:t>6 Abs.</w:t>
            </w:r>
            <w:r w:rsidRPr="00BA1500">
              <w:rPr>
                <w:rFonts w:ascii="Aptos" w:hAnsi="Aptos" w:cs="Aptos"/>
              </w:rPr>
              <w:t> </w:t>
            </w:r>
            <w:r w:rsidRPr="00BA1500">
              <w:t>1 DSGVO sowie f</w:t>
            </w:r>
            <w:r w:rsidRPr="00BA1500">
              <w:rPr>
                <w:rFonts w:ascii="Aptos" w:hAnsi="Aptos" w:cs="Aptos"/>
              </w:rPr>
              <w:t>ü</w:t>
            </w:r>
            <w:r w:rsidRPr="00BA1500">
              <w:t xml:space="preserve">r die Wahrung der Rechte der betroffenen Personen nach den Art. 12 bis 22 DSGVO ist allein der Auftraggeber verantwortlich. Gleichwohl ist der Auftragnehmer verpflichtet, alle solche Anfragen, sofern sie erkennbar ausschließlich an den Auftraggeber gerichtet sind, unverzüglich an diesen weiterzuleiten. </w:t>
            </w:r>
          </w:p>
          <w:p w14:paraId="147B2990" w14:textId="77777777" w:rsidR="00CE4875" w:rsidRDefault="002304DA" w:rsidP="00BA1500">
            <w:r w:rsidRPr="00BA1500">
              <w:t xml:space="preserve">Änderungen des Verarbeitungsgegenstandes und Verfahrensänderungen sind gemeinsam zwischen Auftraggeber und Auftragnehmer abzustimmen und schriftlich oder in einem dokumentierten elektronischen Format festzulegen. </w:t>
            </w:r>
          </w:p>
          <w:p w14:paraId="2720E78C" w14:textId="77777777" w:rsidR="00CE4875" w:rsidRDefault="002304DA" w:rsidP="00BA1500">
            <w:r w:rsidRPr="00BA1500">
              <w:t xml:space="preserve">Der Auftraggeber erteilt alle Aufträge, Teilaufträge und Weisungen in der Regel schriftlich oder in einem dokumentierten elektronischen Format. Mündliche Weisungen sind unverzüglich schriftlich oder in einem dokumentierten elektronischen Format zu bestätigen. </w:t>
            </w:r>
          </w:p>
          <w:p w14:paraId="0C6A2E02" w14:textId="77777777" w:rsidR="00CE4875" w:rsidRDefault="002304DA" w:rsidP="00BA1500">
            <w:r w:rsidRPr="00BA1500">
              <w:t xml:space="preserve">Der Auftraggeber ist berechtigt, sich wie unter Nr. 5 festgelegt vor Beginn der Verarbeitung und sodann regelmäßig in angemessener Weise von der Einhaltung der beim Auftragnehmer getroffenen technischen und organisatorischen Maßnahmen sowie der in diesem Vertrag festgelegten Verpflichtungen zu überzeugen. </w:t>
            </w:r>
          </w:p>
          <w:p w14:paraId="1E8A309B" w14:textId="77777777" w:rsidR="00CE4875" w:rsidRDefault="002304DA" w:rsidP="00BA1500">
            <w:r w:rsidRPr="00BA1500">
              <w:t xml:space="preserve">Der Auftraggeber informiert den Auftragnehmer unverzüglich, wenn er Fehler oder Unregelmäßigkeiten bei der Prüfung der Auftragsergebnisse feststellt. </w:t>
            </w:r>
          </w:p>
          <w:p w14:paraId="4E7EFC2F" w14:textId="77777777" w:rsidR="00CE4875" w:rsidRDefault="002304DA" w:rsidP="00BA1500">
            <w:r w:rsidRPr="00BA1500">
              <w:t xml:space="preserve">Der Auftraggeber ist verpflichtet, alle im Rahmen des Vertragsverhältnisses erlangten Kenntnisse von Geschäftsgeheimnissen und Datensicherheitsmaßnahmen des Auftragnehmers vertraulich zu behandeln. Diese Verpflichtung bleibt auch nach Beendigung dieses Vertrags bestehen. </w:t>
            </w:r>
          </w:p>
          <w:p w14:paraId="4D6E76BF" w14:textId="77777777" w:rsidR="00CE4875" w:rsidRDefault="00CE4875" w:rsidP="00BA1500"/>
          <w:p w14:paraId="0EA99454" w14:textId="77777777" w:rsidR="006D7A66" w:rsidRDefault="002304DA" w:rsidP="00BA1500">
            <w:r w:rsidRPr="006D7A66">
              <w:rPr>
                <w:b/>
                <w:bCs/>
              </w:rPr>
              <w:t>4. Weisungsberechtigte des Auftraggebers, Weisungsempfänger des Auftragnehmers</w:t>
            </w:r>
            <w:r w:rsidRPr="00BA1500">
              <w:t xml:space="preserve"> </w:t>
            </w:r>
          </w:p>
          <w:p w14:paraId="5493671A" w14:textId="77777777" w:rsidR="006D7A66" w:rsidRDefault="002304DA" w:rsidP="00BA1500">
            <w:r w:rsidRPr="00BA1500">
              <w:rPr>
                <w:rFonts w:ascii="Cambria Math" w:hAnsi="Cambria Math" w:cs="Cambria Math"/>
              </w:rPr>
              <w:t>▶</w:t>
            </w:r>
            <w:r w:rsidRPr="00BA1500">
              <w:t xml:space="preserve"> Weisungsberechtigte Personen des Auftraggebers sind: (Vorname, Name, Organisationseinheit, Telefon)</w:t>
            </w:r>
          </w:p>
          <w:p w14:paraId="00CC7E81" w14:textId="77777777" w:rsidR="006D7A66" w:rsidRDefault="002304DA" w:rsidP="00BA1500">
            <w:r w:rsidRPr="00BA1500">
              <w:t xml:space="preserve"> </w:t>
            </w:r>
            <w:r w:rsidRPr="00BA1500">
              <w:rPr>
                <w:rFonts w:ascii="Cambria Math" w:hAnsi="Cambria Math" w:cs="Cambria Math"/>
              </w:rPr>
              <w:t>▶</w:t>
            </w:r>
            <w:r w:rsidRPr="00BA1500">
              <w:t xml:space="preserve"> Weisungsempf</w:t>
            </w:r>
            <w:r w:rsidRPr="00BA1500">
              <w:rPr>
                <w:rFonts w:ascii="Aptos" w:hAnsi="Aptos" w:cs="Aptos"/>
              </w:rPr>
              <w:t>ä</w:t>
            </w:r>
            <w:r w:rsidRPr="00BA1500">
              <w:t xml:space="preserve">nger beim Auftragnehmer sind: (Vorname, Name, Organisationseinheit, Telefon) </w:t>
            </w:r>
          </w:p>
          <w:p w14:paraId="6A6F7B92" w14:textId="77777777" w:rsidR="006D7A66" w:rsidRDefault="002304DA" w:rsidP="00BA1500">
            <w:r w:rsidRPr="00BA1500">
              <w:rPr>
                <w:rFonts w:ascii="Cambria Math" w:hAnsi="Cambria Math" w:cs="Cambria Math"/>
              </w:rPr>
              <w:t>▶</w:t>
            </w:r>
            <w:r w:rsidRPr="00BA1500">
              <w:t xml:space="preserve"> F</w:t>
            </w:r>
            <w:r w:rsidRPr="00BA1500">
              <w:rPr>
                <w:rFonts w:ascii="Aptos" w:hAnsi="Aptos" w:cs="Aptos"/>
              </w:rPr>
              <w:t>ü</w:t>
            </w:r>
            <w:r w:rsidRPr="00BA1500">
              <w:t>r Weisung zu nutzende Kommunikationskan</w:t>
            </w:r>
            <w:r w:rsidRPr="00BA1500">
              <w:rPr>
                <w:rFonts w:ascii="Aptos" w:hAnsi="Aptos" w:cs="Aptos"/>
              </w:rPr>
              <w:t>ä</w:t>
            </w:r>
            <w:r w:rsidRPr="00BA1500">
              <w:t xml:space="preserve">le: (genaue postalische Adresse, E-Mail-Adresse, Telefonnummer) </w:t>
            </w:r>
          </w:p>
          <w:p w14:paraId="7554C970" w14:textId="78E453CB" w:rsidR="006D7A66" w:rsidRDefault="002304DA" w:rsidP="00BA1500">
            <w:r w:rsidRPr="00BA1500">
              <w:t>Bei einem Wechsel oder einer l</w:t>
            </w:r>
            <w:r w:rsidRPr="00BA1500">
              <w:rPr>
                <w:rFonts w:ascii="Aptos" w:hAnsi="Aptos" w:cs="Aptos"/>
              </w:rPr>
              <w:t>ä</w:t>
            </w:r>
            <w:r w:rsidRPr="00BA1500">
              <w:t>ngerfristigen Verhinderung der Ansprechpartner sind dem Vertragspartner unverz</w:t>
            </w:r>
            <w:r w:rsidRPr="00BA1500">
              <w:rPr>
                <w:rFonts w:ascii="Aptos" w:hAnsi="Aptos" w:cs="Aptos"/>
              </w:rPr>
              <w:t>ü</w:t>
            </w:r>
            <w:r w:rsidRPr="00BA1500">
              <w:t>glich und grunds</w:t>
            </w:r>
            <w:r w:rsidRPr="00BA1500">
              <w:rPr>
                <w:rFonts w:ascii="Aptos" w:hAnsi="Aptos" w:cs="Aptos"/>
              </w:rPr>
              <w:t>ä</w:t>
            </w:r>
            <w:r w:rsidRPr="00BA1500">
              <w:t>tzlich schriftlich oder elektronisch die Nac</w:t>
            </w:r>
            <w:r w:rsidR="006D7A66">
              <w:t>h</w:t>
            </w:r>
            <w:r w:rsidRPr="00BA1500">
              <w:t xml:space="preserve">folger bzw. die Vertreter mitzuteilen. Die Weisungen sind für ihre Geltungsdauer und anschließend noch für drei volle Kalenderjahre aufzubewahren. </w:t>
            </w:r>
          </w:p>
          <w:p w14:paraId="10932AF9" w14:textId="77777777" w:rsidR="006D7A66" w:rsidRDefault="006D7A66" w:rsidP="00BA1500"/>
          <w:p w14:paraId="436B26A7" w14:textId="77777777" w:rsidR="006D7A66" w:rsidRPr="006D7A66" w:rsidRDefault="002304DA" w:rsidP="00BA1500">
            <w:pPr>
              <w:rPr>
                <w:b/>
                <w:bCs/>
              </w:rPr>
            </w:pPr>
            <w:r w:rsidRPr="006D7A66">
              <w:rPr>
                <w:b/>
                <w:bCs/>
              </w:rPr>
              <w:t xml:space="preserve">5. Pflichten des Auftragnehmers </w:t>
            </w:r>
          </w:p>
          <w:p w14:paraId="71472FE3" w14:textId="77777777" w:rsidR="00D346B8" w:rsidRDefault="002304DA" w:rsidP="00BA1500">
            <w:r w:rsidRPr="00BA1500">
              <w:t>Der Auftragnehmer verarbeitet personenbezogene Daten ausschließlich im Rahmen der getroffenen Vereinbarungen und nach Weisungen des Auftraggebers, sofern er nicht zu einer anderen Verarbeitung durch das Recht der Union oder der Mitgliedstaaten, dem der Auftragsverarbeiter unterliegt, verpflichtet ist (z.B. Ermittlungen von Strafverfolgungs</w:t>
            </w:r>
            <w:r w:rsidR="00D346B8">
              <w:t xml:space="preserve">- </w:t>
            </w:r>
            <w:r w:rsidRPr="00BA1500">
              <w:t xml:space="preserve">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Satz 2 </w:t>
            </w:r>
            <w:proofErr w:type="spellStart"/>
            <w:r w:rsidRPr="00BA1500">
              <w:t>lit</w:t>
            </w:r>
            <w:proofErr w:type="spellEnd"/>
            <w:r w:rsidRPr="00BA1500">
              <w:t xml:space="preserve">. a DSGVO). </w:t>
            </w:r>
          </w:p>
          <w:p w14:paraId="3AD5CA27" w14:textId="1A16A1BB" w:rsidR="00651C65" w:rsidRPr="00BA1500" w:rsidRDefault="00AA0549" w:rsidP="00BA1500">
            <w:r w:rsidRPr="00BA1500">
              <w:t>[…]</w:t>
            </w:r>
          </w:p>
        </w:tc>
      </w:tr>
    </w:tbl>
    <w:p w14:paraId="27C28B9B" w14:textId="77777777" w:rsidR="0075023C" w:rsidRDefault="0075023C" w:rsidP="00D346B8"/>
    <w:sectPr w:rsidR="007502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E1D3E"/>
    <w:multiLevelType w:val="hybridMultilevel"/>
    <w:tmpl w:val="95B234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D35CBD"/>
    <w:multiLevelType w:val="hybridMultilevel"/>
    <w:tmpl w:val="0DAA8A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DB466B"/>
    <w:multiLevelType w:val="hybridMultilevel"/>
    <w:tmpl w:val="60423B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8B25CD"/>
    <w:multiLevelType w:val="hybridMultilevel"/>
    <w:tmpl w:val="EBA223C2"/>
    <w:lvl w:ilvl="0" w:tplc="1DC8CE5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6608594">
    <w:abstractNumId w:val="3"/>
  </w:num>
  <w:num w:numId="2" w16cid:durableId="1451507404">
    <w:abstractNumId w:val="0"/>
  </w:num>
  <w:num w:numId="3" w16cid:durableId="1978143467">
    <w:abstractNumId w:val="1"/>
  </w:num>
  <w:num w:numId="4" w16cid:durableId="67079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3C"/>
    <w:rsid w:val="0001390D"/>
    <w:rsid w:val="00075182"/>
    <w:rsid w:val="000878C7"/>
    <w:rsid w:val="000E2430"/>
    <w:rsid w:val="001633EE"/>
    <w:rsid w:val="001833F0"/>
    <w:rsid w:val="001C77D9"/>
    <w:rsid w:val="001D1B49"/>
    <w:rsid w:val="001D2F1E"/>
    <w:rsid w:val="001F0088"/>
    <w:rsid w:val="001F29C6"/>
    <w:rsid w:val="002304DA"/>
    <w:rsid w:val="00275969"/>
    <w:rsid w:val="00281EF3"/>
    <w:rsid w:val="00284ADA"/>
    <w:rsid w:val="00296C25"/>
    <w:rsid w:val="002B1C14"/>
    <w:rsid w:val="002C460D"/>
    <w:rsid w:val="002C63B9"/>
    <w:rsid w:val="002E0352"/>
    <w:rsid w:val="003369D7"/>
    <w:rsid w:val="00402DED"/>
    <w:rsid w:val="00414F34"/>
    <w:rsid w:val="0044459E"/>
    <w:rsid w:val="00454A47"/>
    <w:rsid w:val="00487E2B"/>
    <w:rsid w:val="004B610E"/>
    <w:rsid w:val="004E12B8"/>
    <w:rsid w:val="005139D9"/>
    <w:rsid w:val="005E065B"/>
    <w:rsid w:val="005E204A"/>
    <w:rsid w:val="006350DF"/>
    <w:rsid w:val="006430BD"/>
    <w:rsid w:val="00651C65"/>
    <w:rsid w:val="00680379"/>
    <w:rsid w:val="006B5F7D"/>
    <w:rsid w:val="006B7412"/>
    <w:rsid w:val="006D7A66"/>
    <w:rsid w:val="006E6C54"/>
    <w:rsid w:val="00711FA3"/>
    <w:rsid w:val="007138E8"/>
    <w:rsid w:val="00713C3C"/>
    <w:rsid w:val="0075023C"/>
    <w:rsid w:val="00776FD2"/>
    <w:rsid w:val="00792794"/>
    <w:rsid w:val="007944B4"/>
    <w:rsid w:val="007A2A05"/>
    <w:rsid w:val="007A4343"/>
    <w:rsid w:val="007B047B"/>
    <w:rsid w:val="007E53CF"/>
    <w:rsid w:val="00815980"/>
    <w:rsid w:val="008B7C1A"/>
    <w:rsid w:val="009262D4"/>
    <w:rsid w:val="00940908"/>
    <w:rsid w:val="00941651"/>
    <w:rsid w:val="00945DC8"/>
    <w:rsid w:val="0096485A"/>
    <w:rsid w:val="009D3A29"/>
    <w:rsid w:val="009D6F9E"/>
    <w:rsid w:val="009E5DFB"/>
    <w:rsid w:val="00A10B26"/>
    <w:rsid w:val="00A23E79"/>
    <w:rsid w:val="00A57442"/>
    <w:rsid w:val="00AA0549"/>
    <w:rsid w:val="00AA1CC3"/>
    <w:rsid w:val="00AC5539"/>
    <w:rsid w:val="00AD4B7C"/>
    <w:rsid w:val="00B213EB"/>
    <w:rsid w:val="00B34EA3"/>
    <w:rsid w:val="00B67AAD"/>
    <w:rsid w:val="00BA1500"/>
    <w:rsid w:val="00BB4DB8"/>
    <w:rsid w:val="00BC6818"/>
    <w:rsid w:val="00BE46CE"/>
    <w:rsid w:val="00C27964"/>
    <w:rsid w:val="00C578C2"/>
    <w:rsid w:val="00C74280"/>
    <w:rsid w:val="00C90EB6"/>
    <w:rsid w:val="00CE4875"/>
    <w:rsid w:val="00CE6CD4"/>
    <w:rsid w:val="00CF02E1"/>
    <w:rsid w:val="00D346B8"/>
    <w:rsid w:val="00D72939"/>
    <w:rsid w:val="00DB0314"/>
    <w:rsid w:val="00DB783A"/>
    <w:rsid w:val="00DE75E3"/>
    <w:rsid w:val="00DF5CE7"/>
    <w:rsid w:val="00E40C25"/>
    <w:rsid w:val="00ED6185"/>
    <w:rsid w:val="00F7641B"/>
    <w:rsid w:val="00FD2A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3254"/>
  <w15:chartTrackingRefBased/>
  <w15:docId w15:val="{834C4089-E8B1-4562-A903-F4FB5E47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0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0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02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02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02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02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02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02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02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02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02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02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02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02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02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02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02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023C"/>
    <w:rPr>
      <w:rFonts w:eastAsiaTheme="majorEastAsia" w:cstheme="majorBidi"/>
      <w:color w:val="272727" w:themeColor="text1" w:themeTint="D8"/>
    </w:rPr>
  </w:style>
  <w:style w:type="paragraph" w:styleId="Titel">
    <w:name w:val="Title"/>
    <w:basedOn w:val="Standard"/>
    <w:next w:val="Standard"/>
    <w:link w:val="TitelZchn"/>
    <w:uiPriority w:val="10"/>
    <w:qFormat/>
    <w:rsid w:val="00750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02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02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02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02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023C"/>
    <w:rPr>
      <w:i/>
      <w:iCs/>
      <w:color w:val="404040" w:themeColor="text1" w:themeTint="BF"/>
    </w:rPr>
  </w:style>
  <w:style w:type="paragraph" w:styleId="Listenabsatz">
    <w:name w:val="List Paragraph"/>
    <w:basedOn w:val="Standard"/>
    <w:uiPriority w:val="34"/>
    <w:qFormat/>
    <w:rsid w:val="0075023C"/>
    <w:pPr>
      <w:ind w:left="720"/>
      <w:contextualSpacing/>
    </w:pPr>
  </w:style>
  <w:style w:type="character" w:styleId="IntensiveHervorhebung">
    <w:name w:val="Intense Emphasis"/>
    <w:basedOn w:val="Absatz-Standardschriftart"/>
    <w:uiPriority w:val="21"/>
    <w:qFormat/>
    <w:rsid w:val="0075023C"/>
    <w:rPr>
      <w:i/>
      <w:iCs/>
      <w:color w:val="0F4761" w:themeColor="accent1" w:themeShade="BF"/>
    </w:rPr>
  </w:style>
  <w:style w:type="paragraph" w:styleId="IntensivesZitat">
    <w:name w:val="Intense Quote"/>
    <w:basedOn w:val="Standard"/>
    <w:next w:val="Standard"/>
    <w:link w:val="IntensivesZitatZchn"/>
    <w:uiPriority w:val="30"/>
    <w:qFormat/>
    <w:rsid w:val="00750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023C"/>
    <w:rPr>
      <w:i/>
      <w:iCs/>
      <w:color w:val="0F4761" w:themeColor="accent1" w:themeShade="BF"/>
    </w:rPr>
  </w:style>
  <w:style w:type="character" w:styleId="IntensiverVerweis">
    <w:name w:val="Intense Reference"/>
    <w:basedOn w:val="Absatz-Standardschriftart"/>
    <w:uiPriority w:val="32"/>
    <w:qFormat/>
    <w:rsid w:val="0075023C"/>
    <w:rPr>
      <w:b/>
      <w:bCs/>
      <w:smallCaps/>
      <w:color w:val="0F4761" w:themeColor="accent1" w:themeShade="BF"/>
      <w:spacing w:val="5"/>
    </w:rPr>
  </w:style>
  <w:style w:type="table" w:styleId="Tabellenraster">
    <w:name w:val="Table Grid"/>
    <w:basedOn w:val="NormaleTabelle"/>
    <w:uiPriority w:val="39"/>
    <w:rsid w:val="0075023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Props1.xml><?xml version="1.0" encoding="utf-8"?>
<ds:datastoreItem xmlns:ds="http://schemas.openxmlformats.org/officeDocument/2006/customXml" ds:itemID="{D8DA8CC9-001F-495D-AB69-76CC954F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39DDE-2385-4486-96D6-8F98CA7BDABB}">
  <ds:schemaRefs>
    <ds:schemaRef ds:uri="http://schemas.microsoft.com/sharepoint/v3/contenttype/forms"/>
  </ds:schemaRefs>
</ds:datastoreItem>
</file>

<file path=customXml/itemProps3.xml><?xml version="1.0" encoding="utf-8"?>
<ds:datastoreItem xmlns:ds="http://schemas.openxmlformats.org/officeDocument/2006/customXml" ds:itemID="{AFBE147D-A154-405D-9696-A73C91EF2E94}">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4301</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NMA - Nathalia Martín Ayala</cp:lastModifiedBy>
  <cp:revision>10</cp:revision>
  <dcterms:created xsi:type="dcterms:W3CDTF">2025-08-06T08:04:00Z</dcterms:created>
  <dcterms:modified xsi:type="dcterms:W3CDTF">2025-08-06T08:10:00Z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