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E18" w14:textId="11D54082" w:rsidR="009D3A29" w:rsidRDefault="003B050E">
      <w:r>
        <w:rPr>
          <w:noProof/>
        </w:rPr>
        <mc:AlternateContent>
          <mc:Choice Requires="wps">
            <w:drawing>
              <wp:anchor distT="0" distB="0" distL="114300" distR="114300" simplePos="0" relativeHeight="251659264" behindDoc="0" locked="0" layoutInCell="1" allowOverlap="1" wp14:anchorId="3D187898" wp14:editId="4764E4A3">
                <wp:simplePos x="0" y="0"/>
                <wp:positionH relativeFrom="column">
                  <wp:posOffset>4954905</wp:posOffset>
                </wp:positionH>
                <wp:positionV relativeFrom="paragraph">
                  <wp:posOffset>713105</wp:posOffset>
                </wp:positionV>
                <wp:extent cx="1200150" cy="374650"/>
                <wp:effectExtent l="0" t="0" r="19050" b="25400"/>
                <wp:wrapNone/>
                <wp:docPr id="339826533" name="Textfeld 1"/>
                <wp:cNvGraphicFramePr/>
                <a:graphic xmlns:a="http://schemas.openxmlformats.org/drawingml/2006/main">
                  <a:graphicData uri="http://schemas.microsoft.com/office/word/2010/wordprocessingShape">
                    <wps:wsp>
                      <wps:cNvSpPr txBox="1"/>
                      <wps:spPr>
                        <a:xfrm>
                          <a:off x="0" y="0"/>
                          <a:ext cx="1200150" cy="374650"/>
                        </a:xfrm>
                        <a:prstGeom prst="rect">
                          <a:avLst/>
                        </a:prstGeom>
                        <a:solidFill>
                          <a:srgbClr val="666699"/>
                        </a:solidFill>
                        <a:ln w="6350">
                          <a:solidFill>
                            <a:prstClr val="black"/>
                          </a:solidFill>
                        </a:ln>
                      </wps:spPr>
                      <wps:txbx>
                        <w:txbxContent>
                          <w:p w14:paraId="5143083A" w14:textId="69CFB64A" w:rsidR="003B050E" w:rsidRPr="003B050E" w:rsidRDefault="003B050E">
                            <w:pPr>
                              <w:rPr>
                                <w:b/>
                                <w:bCs/>
                                <w:color w:val="FFFFFF" w:themeColor="background1"/>
                              </w:rPr>
                            </w:pPr>
                            <w:r w:rsidRPr="003B050E">
                              <w:rPr>
                                <w:b/>
                                <w:bCs/>
                                <w:color w:val="FFFFFF" w:themeColor="background1"/>
                              </w:rPr>
                              <w:t>Ausgabe 0</w:t>
                            </w:r>
                            <w:r w:rsidR="00624FB0">
                              <w:rPr>
                                <w:b/>
                                <w:bCs/>
                                <w:color w:val="FFFFFF" w:themeColor="background1"/>
                              </w:rPr>
                              <w:t>9</w:t>
                            </w:r>
                            <w:r w:rsidRPr="003B050E">
                              <w:rPr>
                                <w:b/>
                                <w:bCs/>
                                <w:color w:val="FFFFFF" w:themeColor="background1"/>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187898" id="_x0000_t202" coordsize="21600,21600" o:spt="202" path="m,l,21600r21600,l21600,xe">
                <v:stroke joinstyle="miter"/>
                <v:path gradientshapeok="t" o:connecttype="rect"/>
              </v:shapetype>
              <v:shape id="Textfeld 1" o:spid="_x0000_s1026" type="#_x0000_t202" style="position:absolute;margin-left:390.15pt;margin-top:56.15pt;width:94.5pt;height: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" fillcolor="#669" strokeweight=".5pt">
                <v:textbox>
                  <w:txbxContent>
                    <w:p w14:paraId="5143083A" w14:textId="69CFB64A" w:rsidR="003B050E" w:rsidRPr="003B050E" w:rsidRDefault="003B050E">
                      <w:pPr>
                        <w:rPr>
                          <w:b/>
                          <w:bCs/>
                          <w:color w:val="FFFFFF" w:themeColor="background1"/>
                        </w:rPr>
                      </w:pPr>
                      <w:r w:rsidRPr="003B050E">
                        <w:rPr>
                          <w:b/>
                          <w:bCs/>
                          <w:color w:val="FFFFFF" w:themeColor="background1"/>
                        </w:rPr>
                        <w:t>Ausgabe 0</w:t>
                      </w:r>
                      <w:r w:rsidR="00624FB0">
                        <w:rPr>
                          <w:b/>
                          <w:bCs/>
                          <w:color w:val="FFFFFF" w:themeColor="background1"/>
                        </w:rPr>
                        <w:t>9</w:t>
                      </w:r>
                      <w:r w:rsidRPr="003B050E">
                        <w:rPr>
                          <w:b/>
                          <w:bCs/>
                          <w:color w:val="FFFFFF" w:themeColor="background1"/>
                        </w:rPr>
                        <w:t>/25</w:t>
                      </w:r>
                    </w:p>
                  </w:txbxContent>
                </v:textbox>
              </v:shape>
            </w:pict>
          </mc:Fallback>
        </mc:AlternateContent>
      </w:r>
      <w:r w:rsidRPr="003B050E">
        <w:rPr>
          <w:noProof/>
        </w:rPr>
        <w:drawing>
          <wp:inline distT="0" distB="0" distL="0" distR="0" wp14:anchorId="1FAB2CC5" wp14:editId="43558CA7">
            <wp:extent cx="4889500" cy="1095717"/>
            <wp:effectExtent l="0" t="0" r="6350" b="9525"/>
            <wp:docPr id="186633434" name="Grafik 1"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3434" name="Grafik 1" descr="Ein Bild, das Schrift, Grafiken, Text, Logo enthält.&#10;&#10;KI-generierte Inhalte können fehlerhaft sein."/>
                    <pic:cNvPicPr/>
                  </pic:nvPicPr>
                  <pic:blipFill>
                    <a:blip r:embed="rId8"/>
                    <a:stretch>
                      <a:fillRect/>
                    </a:stretch>
                  </pic:blipFill>
                  <pic:spPr>
                    <a:xfrm>
                      <a:off x="0" y="0"/>
                      <a:ext cx="4907569" cy="1099766"/>
                    </a:xfrm>
                    <a:prstGeom prst="rect">
                      <a:avLst/>
                    </a:prstGeom>
                  </pic:spPr>
                </pic:pic>
              </a:graphicData>
            </a:graphic>
          </wp:inline>
        </w:drawing>
      </w:r>
    </w:p>
    <w:p w14:paraId="28FBFF3F" w14:textId="77777777" w:rsidR="003B050E" w:rsidRDefault="003B050E"/>
    <w:tbl>
      <w:tblPr>
        <w:tblStyle w:val="Tabellenraster"/>
        <w:tblW w:w="9067" w:type="dxa"/>
        <w:tblLook w:val="04A0" w:firstRow="1" w:lastRow="0" w:firstColumn="1" w:lastColumn="0" w:noHBand="0" w:noVBand="1"/>
      </w:tblPr>
      <w:tblGrid>
        <w:gridCol w:w="9067"/>
      </w:tblGrid>
      <w:tr w:rsidR="003B050E" w14:paraId="422510C3" w14:textId="77777777" w:rsidTr="00BF4EBF">
        <w:tc>
          <w:tcPr>
            <w:tcW w:w="9067" w:type="dxa"/>
            <w:shd w:val="clear" w:color="auto" w:fill="666699"/>
          </w:tcPr>
          <w:p w14:paraId="0F9E2CB0" w14:textId="5FDEA499" w:rsidR="003B050E" w:rsidRDefault="00F449CB" w:rsidP="003B050E">
            <w:pPr>
              <w:jc w:val="center"/>
            </w:pPr>
            <w:r w:rsidRPr="00F449CB">
              <w:rPr>
                <w:b/>
                <w:bCs/>
                <w:color w:val="FFFFFF" w:themeColor="background1"/>
                <w:sz w:val="32"/>
                <w:szCs w:val="32"/>
              </w:rPr>
              <w:t>Übersicht: Mit diesen 5 Tipps nutzen Sie den Apotheker für Ihre Palliative Care</w:t>
            </w:r>
          </w:p>
        </w:tc>
      </w:tr>
      <w:tr w:rsidR="003F1682" w:rsidRPr="00792EF2" w14:paraId="7E0C44DF" w14:textId="77777777" w:rsidTr="003F1682">
        <w:tc>
          <w:tcPr>
            <w:tcW w:w="9067" w:type="dxa"/>
          </w:tcPr>
          <w:p w14:paraId="0C146387" w14:textId="52674774" w:rsidR="0094072F" w:rsidRPr="00F449CB" w:rsidRDefault="00D95E09" w:rsidP="002455EF">
            <w:pPr>
              <w:pStyle w:val="Listenabsatz"/>
              <w:numPr>
                <w:ilvl w:val="0"/>
                <w:numId w:val="4"/>
              </w:numPr>
              <w:rPr>
                <w:rFonts w:ascii="Arial" w:hAnsi="Arial" w:cs="Arial"/>
                <w:color w:val="000000"/>
                <w:kern w:val="0"/>
                <w:sz w:val="24"/>
                <w:szCs w:val="24"/>
              </w:rPr>
            </w:pPr>
            <w:r w:rsidRPr="00D95E09">
              <w:rPr>
                <w:rFonts w:ascii="Arial" w:hAnsi="Arial" w:cs="Arial"/>
                <w:b/>
                <w:bCs/>
                <w:color w:val="000000"/>
                <w:kern w:val="0"/>
                <w:sz w:val="24"/>
                <w:szCs w:val="24"/>
              </w:rPr>
              <w:t xml:space="preserve">Tipp: </w:t>
            </w:r>
            <w:r w:rsidR="00F449CB" w:rsidRPr="00F449CB">
              <w:rPr>
                <w:rFonts w:ascii="Arial" w:hAnsi="Arial" w:cs="Arial"/>
                <w:b/>
                <w:bCs/>
                <w:color w:val="000000"/>
                <w:kern w:val="0"/>
                <w:sz w:val="24"/>
                <w:szCs w:val="24"/>
              </w:rPr>
              <w:t xml:space="preserve">Lassen Sie Neben- und Wechselwirkungen ausschließen </w:t>
            </w:r>
            <w:r w:rsidR="00F449CB" w:rsidRPr="00F449CB">
              <w:rPr>
                <w:rFonts w:ascii="Arial" w:hAnsi="Arial" w:cs="Arial"/>
                <w:color w:val="000000"/>
                <w:kern w:val="0"/>
                <w:sz w:val="24"/>
                <w:szCs w:val="24"/>
              </w:rPr>
              <w:t>Eigentlic</w:t>
            </w:r>
            <w:r w:rsidR="00F449CB">
              <w:rPr>
                <w:rFonts w:ascii="Arial" w:hAnsi="Arial" w:cs="Arial"/>
                <w:color w:val="000000"/>
                <w:kern w:val="0"/>
                <w:sz w:val="24"/>
                <w:szCs w:val="24"/>
              </w:rPr>
              <w:t>h</w:t>
            </w:r>
            <w:r w:rsidR="00F449CB" w:rsidRPr="00F449CB">
              <w:rPr>
                <w:rFonts w:ascii="Arial" w:hAnsi="Arial" w:cs="Arial"/>
                <w:color w:val="000000"/>
                <w:kern w:val="0"/>
                <w:sz w:val="24"/>
                <w:szCs w:val="24"/>
              </w:rPr>
              <w:t xml:space="preserve"> obliegt es dem Hausarzt, zu schauen, ob die Medikamente, die Ihr Pflegekunde in der Summe erhält, auch wirklich zusammenpassen. Leider kommen viele Hausärzte dieser Verpflichtung nicht nach – insbesondere bei alten Menschen. Sie sollten daher immer wieder einmal einen Medikamentencheck durch den Apotheker erbitten</w:t>
            </w:r>
            <w:r w:rsidR="00E9638B" w:rsidRPr="00F449CB">
              <w:rPr>
                <w:rFonts w:ascii="Arial" w:hAnsi="Arial" w:cs="Arial"/>
                <w:color w:val="000000"/>
                <w:kern w:val="0"/>
                <w:sz w:val="24"/>
                <w:szCs w:val="24"/>
              </w:rPr>
              <w:t xml:space="preserve">. </w:t>
            </w:r>
          </w:p>
          <w:p w14:paraId="78E94B8A" w14:textId="5904D169" w:rsidR="00634749" w:rsidRPr="00500C33" w:rsidRDefault="00634749" w:rsidP="00500C33">
            <w:pPr>
              <w:pStyle w:val="Listenabsatz"/>
              <w:rPr>
                <w:rFonts w:ascii="Arial" w:hAnsi="Arial" w:cs="Arial"/>
                <w:b/>
                <w:bCs/>
                <w:color w:val="000000"/>
                <w:kern w:val="0"/>
                <w:sz w:val="24"/>
                <w:szCs w:val="24"/>
              </w:rPr>
            </w:pPr>
          </w:p>
        </w:tc>
      </w:tr>
      <w:tr w:rsidR="003F1682" w:rsidRPr="00792EF2" w14:paraId="461CDF17" w14:textId="77777777" w:rsidTr="003F1682">
        <w:tc>
          <w:tcPr>
            <w:tcW w:w="9067" w:type="dxa"/>
          </w:tcPr>
          <w:p w14:paraId="55EAEA36" w14:textId="77777777" w:rsidR="002455EF" w:rsidRDefault="002B0013" w:rsidP="002455EF">
            <w:pPr>
              <w:pStyle w:val="Listenabsatz"/>
              <w:numPr>
                <w:ilvl w:val="0"/>
                <w:numId w:val="4"/>
              </w:numPr>
              <w:rPr>
                <w:rFonts w:ascii="Arial" w:hAnsi="Arial" w:cs="Arial"/>
                <w:b/>
                <w:bCs/>
                <w:color w:val="000000"/>
                <w:kern w:val="0"/>
                <w:sz w:val="24"/>
                <w:szCs w:val="24"/>
              </w:rPr>
            </w:pPr>
            <w:r w:rsidRPr="002455EF">
              <w:rPr>
                <w:rFonts w:ascii="Arial" w:hAnsi="Arial" w:cs="Arial"/>
                <w:b/>
                <w:bCs/>
                <w:color w:val="000000"/>
                <w:kern w:val="0"/>
                <w:sz w:val="24"/>
                <w:szCs w:val="24"/>
              </w:rPr>
              <w:t>Tipp:</w:t>
            </w:r>
            <w:r w:rsidRPr="002455EF">
              <w:rPr>
                <w:rFonts w:ascii="Arial" w:hAnsi="Arial" w:cs="Arial"/>
                <w:b/>
                <w:bCs/>
                <w:color w:val="000000"/>
              </w:rPr>
              <w:t xml:space="preserve"> </w:t>
            </w:r>
            <w:r w:rsidR="002455EF" w:rsidRPr="002455EF">
              <w:rPr>
                <w:rFonts w:ascii="Arial" w:hAnsi="Arial" w:cs="Arial"/>
                <w:b/>
                <w:bCs/>
                <w:color w:val="000000"/>
                <w:kern w:val="0"/>
                <w:sz w:val="24"/>
                <w:szCs w:val="24"/>
              </w:rPr>
              <w:t xml:space="preserve">Fragen Sie gezielt nach medikamentös verursachten Nebenwirkungen </w:t>
            </w:r>
          </w:p>
          <w:p w14:paraId="53B48EDE" w14:textId="77777777" w:rsidR="00634749" w:rsidRDefault="002455EF" w:rsidP="002455EF">
            <w:pPr>
              <w:pStyle w:val="Listenabsatz"/>
              <w:ind w:left="1080"/>
              <w:rPr>
                <w:rFonts w:ascii="Arial" w:hAnsi="Arial" w:cs="Arial"/>
                <w:color w:val="000000"/>
                <w:kern w:val="0"/>
                <w:sz w:val="24"/>
                <w:szCs w:val="24"/>
              </w:rPr>
            </w:pPr>
            <w:r w:rsidRPr="002455EF">
              <w:rPr>
                <w:rFonts w:ascii="Arial" w:hAnsi="Arial" w:cs="Arial"/>
                <w:color w:val="000000"/>
                <w:kern w:val="0"/>
                <w:sz w:val="24"/>
                <w:szCs w:val="24"/>
              </w:rPr>
              <w:t xml:space="preserve">Erleben Sie bei Ihren zu Pflegenden, dass diese z. B. an einem Juckreiz oder an Übelkeit leiden, können Sie diese Beobachtung auch mit dem Apotheker besprechen. Insbesondere Psychopharmaka, mitunter aber auch starke Schmerzmittel wie z. B. </w:t>
            </w:r>
            <w:proofErr w:type="spellStart"/>
            <w:r w:rsidRPr="002455EF">
              <w:rPr>
                <w:rFonts w:ascii="Arial" w:hAnsi="Arial" w:cs="Arial"/>
                <w:color w:val="000000"/>
                <w:kern w:val="0"/>
                <w:sz w:val="24"/>
                <w:szCs w:val="24"/>
              </w:rPr>
              <w:t>Fentanyl</w:t>
            </w:r>
            <w:proofErr w:type="spellEnd"/>
            <w:r w:rsidRPr="002455EF">
              <w:rPr>
                <w:rFonts w:ascii="Arial" w:hAnsi="Arial" w:cs="Arial"/>
                <w:color w:val="000000"/>
                <w:kern w:val="0"/>
                <w:sz w:val="24"/>
                <w:szCs w:val="24"/>
              </w:rPr>
              <w:t xml:space="preserve"> lösen bei vielen Patienten Juckreiz aus. Hier können Sie den Apotheker nach möglichen Alternativen befragen.</w:t>
            </w:r>
          </w:p>
          <w:p w14:paraId="41D3EA78" w14:textId="0F65F815" w:rsidR="00AC4E35" w:rsidRPr="002455EF" w:rsidRDefault="00AC4E35" w:rsidP="002455EF">
            <w:pPr>
              <w:pStyle w:val="Listenabsatz"/>
              <w:ind w:left="1080"/>
              <w:rPr>
                <w:rFonts w:ascii="Arial" w:hAnsi="Arial" w:cs="Arial"/>
                <w:color w:val="000000"/>
                <w:kern w:val="0"/>
                <w:sz w:val="24"/>
                <w:szCs w:val="24"/>
              </w:rPr>
            </w:pPr>
          </w:p>
        </w:tc>
      </w:tr>
      <w:tr w:rsidR="007A0164" w:rsidRPr="00792EF2" w14:paraId="255FCAE3" w14:textId="77777777" w:rsidTr="003F1682">
        <w:tc>
          <w:tcPr>
            <w:tcW w:w="9067" w:type="dxa"/>
          </w:tcPr>
          <w:p w14:paraId="49F99C13" w14:textId="77777777" w:rsidR="00634749" w:rsidRPr="00AC4E35" w:rsidRDefault="0094072F" w:rsidP="005F0FB4">
            <w:pPr>
              <w:pStyle w:val="Listenabsatz"/>
              <w:numPr>
                <w:ilvl w:val="0"/>
                <w:numId w:val="4"/>
              </w:numPr>
            </w:pPr>
            <w:r w:rsidRPr="005F0FB4">
              <w:rPr>
                <w:rFonts w:ascii="Arial" w:hAnsi="Arial" w:cs="Arial"/>
                <w:b/>
                <w:bCs/>
                <w:color w:val="000000"/>
                <w:kern w:val="0"/>
                <w:sz w:val="24"/>
                <w:szCs w:val="24"/>
              </w:rPr>
              <w:t>Tipp:</w:t>
            </w:r>
            <w:r w:rsidRPr="005F0FB4">
              <w:rPr>
                <w:rFonts w:ascii="Arial" w:hAnsi="Arial" w:cs="Arial"/>
                <w:b/>
                <w:bCs/>
                <w:color w:val="000000"/>
              </w:rPr>
              <w:t xml:space="preserve"> </w:t>
            </w:r>
            <w:r w:rsidR="005F0FB4" w:rsidRPr="005F0FB4">
              <w:rPr>
                <w:rFonts w:ascii="Arial" w:hAnsi="Arial" w:cs="Arial"/>
                <w:b/>
                <w:bCs/>
                <w:color w:val="000000"/>
                <w:kern w:val="0"/>
                <w:sz w:val="24"/>
                <w:szCs w:val="24"/>
              </w:rPr>
              <w:t xml:space="preserve">Ergründen Sie mit dem Apotheker paradoxe Wirkungen </w:t>
            </w:r>
            <w:r w:rsidR="005F0FB4" w:rsidRPr="005F0FB4">
              <w:rPr>
                <w:rFonts w:ascii="Arial" w:hAnsi="Arial" w:cs="Arial"/>
                <w:color w:val="000000"/>
                <w:kern w:val="0"/>
                <w:sz w:val="24"/>
                <w:szCs w:val="24"/>
              </w:rPr>
              <w:t>Insbesondere bei Psychopharmaka können Sie bei einigen Pflegebedürftigen immer wieder erleben, dass die Medikamente eine sogenannte „paradoxe Wirkung“ auslösen: Der Pflegekunde wird zunehmend aggressiver statt sich zu beruhigen. Auch diesen Zusammenhang können Sie mit dem Apotheker besprechen.</w:t>
            </w:r>
          </w:p>
          <w:p w14:paraId="77C39609" w14:textId="18577854" w:rsidR="00AC4E35" w:rsidRPr="00634749" w:rsidRDefault="00AC4E35" w:rsidP="00897083">
            <w:pPr>
              <w:pStyle w:val="Listenabsatz"/>
              <w:ind w:left="1080"/>
            </w:pPr>
          </w:p>
        </w:tc>
      </w:tr>
      <w:tr w:rsidR="0047703A" w:rsidRPr="00792EF2" w14:paraId="26D476CD" w14:textId="77777777" w:rsidTr="003F1682">
        <w:tc>
          <w:tcPr>
            <w:tcW w:w="9067" w:type="dxa"/>
          </w:tcPr>
          <w:p w14:paraId="70CC4760" w14:textId="77777777" w:rsidR="00634749" w:rsidRPr="00897083" w:rsidRDefault="0047703A" w:rsidP="00E6115C">
            <w:pPr>
              <w:pStyle w:val="Listenabsatz"/>
              <w:numPr>
                <w:ilvl w:val="0"/>
                <w:numId w:val="4"/>
              </w:numPr>
            </w:pPr>
            <w:r w:rsidRPr="00AC4E35">
              <w:rPr>
                <w:rFonts w:ascii="Arial" w:hAnsi="Arial" w:cs="Arial"/>
                <w:b/>
                <w:bCs/>
                <w:color w:val="000000"/>
                <w:kern w:val="0"/>
                <w:sz w:val="24"/>
                <w:szCs w:val="24"/>
              </w:rPr>
              <w:t>Tipp:</w:t>
            </w:r>
            <w:r w:rsidRPr="00E6115C">
              <w:rPr>
                <w:rFonts w:ascii="Arial" w:hAnsi="Arial" w:cs="Arial"/>
                <w:b/>
                <w:bCs/>
                <w:color w:val="000000"/>
              </w:rPr>
              <w:t xml:space="preserve"> </w:t>
            </w:r>
            <w:r w:rsidR="00E6115C" w:rsidRPr="00E6115C">
              <w:rPr>
                <w:rFonts w:ascii="Arial" w:hAnsi="Arial" w:cs="Arial"/>
                <w:b/>
                <w:bCs/>
                <w:color w:val="000000"/>
                <w:kern w:val="0"/>
                <w:sz w:val="24"/>
                <w:szCs w:val="24"/>
              </w:rPr>
              <w:t xml:space="preserve">Erbitten Sie sich Unterstützung im Umgang mit Hausärzten </w:t>
            </w:r>
            <w:r w:rsidR="00E6115C" w:rsidRPr="00E6115C">
              <w:rPr>
                <w:rFonts w:ascii="Arial" w:hAnsi="Arial" w:cs="Arial"/>
                <w:color w:val="000000"/>
                <w:kern w:val="0"/>
                <w:sz w:val="24"/>
                <w:szCs w:val="24"/>
              </w:rPr>
              <w:t>Leider erleben wir Pflegefachkräfte immer wieder, dass einige Ärzte sich nicht auf ein Fachgespräch zur Medikation einlassen. Auch heute erfahren wir dann Reaktionen wie etwa: „Möchten Sie mir sagen, wie ich meine Patienten behandeln soll?“ In solchen Fällen kann es sinnvoll sein, den Apotheker zu bitten, in das Fachgespräch mit dem Hausarzt einzusteigen – ihm hört dieser eher zu und nimmt sich mitunter seiner Alternativvorschläge an</w:t>
            </w:r>
          </w:p>
          <w:p w14:paraId="5FED1F3E" w14:textId="51BBC762" w:rsidR="00897083" w:rsidRPr="00634749" w:rsidRDefault="00897083" w:rsidP="00897083">
            <w:pPr>
              <w:pStyle w:val="Listenabsatz"/>
              <w:ind w:left="1080"/>
            </w:pPr>
          </w:p>
        </w:tc>
      </w:tr>
      <w:tr w:rsidR="00731BA9" w:rsidRPr="00792EF2" w14:paraId="06C54C92" w14:textId="77777777" w:rsidTr="003F1682">
        <w:tc>
          <w:tcPr>
            <w:tcW w:w="9067" w:type="dxa"/>
          </w:tcPr>
          <w:p w14:paraId="1B0DCD69" w14:textId="77777777" w:rsidR="00897083" w:rsidRPr="00897083" w:rsidRDefault="005C57AF" w:rsidP="00897083">
            <w:pPr>
              <w:pStyle w:val="Pa3"/>
              <w:numPr>
                <w:ilvl w:val="0"/>
                <w:numId w:val="4"/>
              </w:numPr>
              <w:rPr>
                <w:rFonts w:ascii="Arial" w:hAnsi="Arial" w:cs="Arial"/>
                <w:color w:val="000000"/>
              </w:rPr>
            </w:pPr>
            <w:r>
              <w:rPr>
                <w:rFonts w:ascii="Arial" w:hAnsi="Arial" w:cs="Arial"/>
                <w:b/>
                <w:bCs/>
                <w:color w:val="000000"/>
              </w:rPr>
              <w:t xml:space="preserve">Tipp: </w:t>
            </w:r>
            <w:r w:rsidR="00897083" w:rsidRPr="00897083">
              <w:rPr>
                <w:rFonts w:ascii="Arial" w:hAnsi="Arial" w:cs="Arial"/>
                <w:b/>
                <w:bCs/>
                <w:color w:val="000000"/>
              </w:rPr>
              <w:t xml:space="preserve">Lassen Sie sich auch bei der Applikation beraten </w:t>
            </w:r>
          </w:p>
          <w:p w14:paraId="7A1B5CD5" w14:textId="7B8DFAF9" w:rsidR="00731BA9" w:rsidRPr="00897083" w:rsidRDefault="00897083" w:rsidP="00897083">
            <w:pPr>
              <w:pStyle w:val="Pa3"/>
              <w:ind w:left="1080"/>
              <w:rPr>
                <w:rFonts w:ascii="Arial" w:hAnsi="Arial" w:cs="Arial"/>
                <w:color w:val="000000"/>
              </w:rPr>
            </w:pPr>
            <w:r w:rsidRPr="00897083">
              <w:rPr>
                <w:rFonts w:ascii="Arial" w:hAnsi="Arial" w:cs="Arial"/>
                <w:color w:val="000000"/>
              </w:rPr>
              <w:t>Bezüglich der Form der Verabreichung eines Medikaments (Applikation) kann Ihnen der Apotheker wertvolle Tipps geben. Gerade wenn Hausärzte empfehlen, z. B. bestimmte Medikamente zu „mörsern“, sollten Sie erst einmal beim Apotheker erfragen, ob das bei den vorliegenden Medikamenten dienlich ist.</w:t>
            </w:r>
          </w:p>
        </w:tc>
      </w:tr>
    </w:tbl>
    <w:p w14:paraId="3B2AEC71" w14:textId="77777777" w:rsidR="003B050E" w:rsidRDefault="003B050E"/>
    <w:sectPr w:rsidR="003B05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ala Sans Offc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A474D"/>
    <w:multiLevelType w:val="hybridMultilevel"/>
    <w:tmpl w:val="31FAC9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8A4207"/>
    <w:multiLevelType w:val="hybridMultilevel"/>
    <w:tmpl w:val="63809E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7D76C6"/>
    <w:multiLevelType w:val="hybridMultilevel"/>
    <w:tmpl w:val="B6849F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BEF5519"/>
    <w:multiLevelType w:val="hybridMultilevel"/>
    <w:tmpl w:val="12082EC8"/>
    <w:lvl w:ilvl="0" w:tplc="407C69A4">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633440900">
    <w:abstractNumId w:val="0"/>
  </w:num>
  <w:num w:numId="2" w16cid:durableId="532503510">
    <w:abstractNumId w:val="2"/>
  </w:num>
  <w:num w:numId="3" w16cid:durableId="1597441138">
    <w:abstractNumId w:val="1"/>
  </w:num>
  <w:num w:numId="4" w16cid:durableId="834611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0E"/>
    <w:rsid w:val="00006310"/>
    <w:rsid w:val="0002010B"/>
    <w:rsid w:val="00024D6F"/>
    <w:rsid w:val="00031A32"/>
    <w:rsid w:val="00032063"/>
    <w:rsid w:val="000B7DDC"/>
    <w:rsid w:val="00167459"/>
    <w:rsid w:val="002455EF"/>
    <w:rsid w:val="00250DC4"/>
    <w:rsid w:val="002725BC"/>
    <w:rsid w:val="002B0013"/>
    <w:rsid w:val="002B5556"/>
    <w:rsid w:val="002D045E"/>
    <w:rsid w:val="00326E0D"/>
    <w:rsid w:val="003A3C84"/>
    <w:rsid w:val="003B050E"/>
    <w:rsid w:val="003C6D81"/>
    <w:rsid w:val="003E7D3F"/>
    <w:rsid w:val="003F1682"/>
    <w:rsid w:val="004140C9"/>
    <w:rsid w:val="0047703A"/>
    <w:rsid w:val="0047790C"/>
    <w:rsid w:val="004B17E1"/>
    <w:rsid w:val="004F5E06"/>
    <w:rsid w:val="00500C33"/>
    <w:rsid w:val="00535F64"/>
    <w:rsid w:val="00544D7C"/>
    <w:rsid w:val="005A1D7B"/>
    <w:rsid w:val="005C57AF"/>
    <w:rsid w:val="005F0FB4"/>
    <w:rsid w:val="0060237F"/>
    <w:rsid w:val="00624FB0"/>
    <w:rsid w:val="00634749"/>
    <w:rsid w:val="0063785B"/>
    <w:rsid w:val="00652DF8"/>
    <w:rsid w:val="00680A90"/>
    <w:rsid w:val="0071691D"/>
    <w:rsid w:val="00731BA9"/>
    <w:rsid w:val="0076693C"/>
    <w:rsid w:val="00776EBF"/>
    <w:rsid w:val="00792EF2"/>
    <w:rsid w:val="007A0164"/>
    <w:rsid w:val="00880791"/>
    <w:rsid w:val="00881F32"/>
    <w:rsid w:val="00897083"/>
    <w:rsid w:val="009262D4"/>
    <w:rsid w:val="0094072F"/>
    <w:rsid w:val="00945DC8"/>
    <w:rsid w:val="00971AFB"/>
    <w:rsid w:val="009D059C"/>
    <w:rsid w:val="009D2F76"/>
    <w:rsid w:val="009D3A29"/>
    <w:rsid w:val="009E19A6"/>
    <w:rsid w:val="00A06275"/>
    <w:rsid w:val="00AC4E35"/>
    <w:rsid w:val="00B258EF"/>
    <w:rsid w:val="00B82A52"/>
    <w:rsid w:val="00B905E3"/>
    <w:rsid w:val="00BA61B3"/>
    <w:rsid w:val="00BF4EBF"/>
    <w:rsid w:val="00C80BC4"/>
    <w:rsid w:val="00C8130A"/>
    <w:rsid w:val="00CA0A69"/>
    <w:rsid w:val="00D10FC8"/>
    <w:rsid w:val="00D95E09"/>
    <w:rsid w:val="00E471AC"/>
    <w:rsid w:val="00E6115C"/>
    <w:rsid w:val="00E9638B"/>
    <w:rsid w:val="00F17C47"/>
    <w:rsid w:val="00F449CB"/>
    <w:rsid w:val="00FA2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D52D"/>
  <w15:chartTrackingRefBased/>
  <w15:docId w15:val="{06B3F8F2-54EF-4558-9F00-098165BA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05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05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05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05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05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05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05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05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05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05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05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05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05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05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05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050E"/>
    <w:rPr>
      <w:rFonts w:eastAsiaTheme="majorEastAsia" w:cstheme="majorBidi"/>
      <w:color w:val="272727" w:themeColor="text1" w:themeTint="D8"/>
    </w:rPr>
  </w:style>
  <w:style w:type="paragraph" w:styleId="Titel">
    <w:name w:val="Title"/>
    <w:basedOn w:val="Standard"/>
    <w:next w:val="Standard"/>
    <w:link w:val="TitelZchn"/>
    <w:uiPriority w:val="10"/>
    <w:qFormat/>
    <w:rsid w:val="003B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05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05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05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05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050E"/>
    <w:rPr>
      <w:i/>
      <w:iCs/>
      <w:color w:val="404040" w:themeColor="text1" w:themeTint="BF"/>
    </w:rPr>
  </w:style>
  <w:style w:type="paragraph" w:styleId="Listenabsatz">
    <w:name w:val="List Paragraph"/>
    <w:basedOn w:val="Standard"/>
    <w:uiPriority w:val="34"/>
    <w:qFormat/>
    <w:rsid w:val="003B050E"/>
    <w:pPr>
      <w:ind w:left="720"/>
      <w:contextualSpacing/>
    </w:pPr>
  </w:style>
  <w:style w:type="character" w:styleId="IntensiveHervorhebung">
    <w:name w:val="Intense Emphasis"/>
    <w:basedOn w:val="Absatz-Standardschriftart"/>
    <w:uiPriority w:val="21"/>
    <w:qFormat/>
    <w:rsid w:val="003B050E"/>
    <w:rPr>
      <w:i/>
      <w:iCs/>
      <w:color w:val="0F4761" w:themeColor="accent1" w:themeShade="BF"/>
    </w:rPr>
  </w:style>
  <w:style w:type="paragraph" w:styleId="IntensivesZitat">
    <w:name w:val="Intense Quote"/>
    <w:basedOn w:val="Standard"/>
    <w:next w:val="Standard"/>
    <w:link w:val="IntensivesZitatZchn"/>
    <w:uiPriority w:val="30"/>
    <w:qFormat/>
    <w:rsid w:val="003B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050E"/>
    <w:rPr>
      <w:i/>
      <w:iCs/>
      <w:color w:val="0F4761" w:themeColor="accent1" w:themeShade="BF"/>
    </w:rPr>
  </w:style>
  <w:style w:type="character" w:styleId="IntensiverVerweis">
    <w:name w:val="Intense Reference"/>
    <w:basedOn w:val="Absatz-Standardschriftart"/>
    <w:uiPriority w:val="32"/>
    <w:qFormat/>
    <w:rsid w:val="003B050E"/>
    <w:rPr>
      <w:b/>
      <w:bCs/>
      <w:smallCaps/>
      <w:color w:val="0F4761" w:themeColor="accent1" w:themeShade="BF"/>
      <w:spacing w:val="5"/>
    </w:rPr>
  </w:style>
  <w:style w:type="table" w:styleId="Tabellenraster">
    <w:name w:val="Table Grid"/>
    <w:basedOn w:val="NormaleTabelle"/>
    <w:uiPriority w:val="39"/>
    <w:rsid w:val="003B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Standard"/>
    <w:next w:val="Standard"/>
    <w:uiPriority w:val="99"/>
    <w:rsid w:val="003B050E"/>
    <w:pPr>
      <w:autoSpaceDE w:val="0"/>
      <w:autoSpaceDN w:val="0"/>
      <w:adjustRightInd w:val="0"/>
      <w:spacing w:after="0" w:line="201" w:lineRule="atLeast"/>
    </w:pPr>
    <w:rPr>
      <w:rFonts w:ascii="Scala Sans Offc Pro" w:hAnsi="Scala Sans Offc Pro"/>
      <w:kern w:val="0"/>
      <w:sz w:val="24"/>
      <w:szCs w:val="24"/>
    </w:rPr>
  </w:style>
  <w:style w:type="paragraph" w:customStyle="1" w:styleId="Pa14">
    <w:name w:val="Pa14"/>
    <w:basedOn w:val="Standard"/>
    <w:next w:val="Standard"/>
    <w:uiPriority w:val="99"/>
    <w:rsid w:val="003B050E"/>
    <w:pPr>
      <w:autoSpaceDE w:val="0"/>
      <w:autoSpaceDN w:val="0"/>
      <w:adjustRightInd w:val="0"/>
      <w:spacing w:after="0" w:line="201" w:lineRule="atLeast"/>
    </w:pPr>
    <w:rPr>
      <w:rFonts w:ascii="Scala Sans Offc Pro" w:hAnsi="Scala Sans Offc Pro"/>
      <w:kern w:val="0"/>
      <w:sz w:val="24"/>
      <w:szCs w:val="24"/>
    </w:rPr>
  </w:style>
  <w:style w:type="paragraph" w:customStyle="1" w:styleId="Pa15">
    <w:name w:val="Pa15"/>
    <w:basedOn w:val="Standard"/>
    <w:next w:val="Standard"/>
    <w:uiPriority w:val="99"/>
    <w:rsid w:val="00535F64"/>
    <w:pPr>
      <w:autoSpaceDE w:val="0"/>
      <w:autoSpaceDN w:val="0"/>
      <w:adjustRightInd w:val="0"/>
      <w:spacing w:after="0" w:line="201" w:lineRule="atLeast"/>
    </w:pPr>
    <w:rPr>
      <w:rFonts w:ascii="Scala Sans Offc Pro" w:hAnsi="Scala Sans Offc 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AD8E8-4E28-4DA4-9F06-7DAA6A7CDD50}">
  <ds:schemaRefs>
    <ds:schemaRef ds:uri="http://schemas.microsoft.com/sharepoint/v3/contenttype/forms"/>
  </ds:schemaRefs>
</ds:datastoreItem>
</file>

<file path=customXml/itemProps2.xml><?xml version="1.0" encoding="utf-8"?>
<ds:datastoreItem xmlns:ds="http://schemas.openxmlformats.org/officeDocument/2006/customXml" ds:itemID="{7E11D169-2836-4302-8DE3-64F01052A6BE}">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customXml/itemProps3.xml><?xml version="1.0" encoding="utf-8"?>
<ds:datastoreItem xmlns:ds="http://schemas.openxmlformats.org/officeDocument/2006/customXml" ds:itemID="{C9F61DE5-FAE1-4C09-97B8-17D0FE55A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1827</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2025-08-26T12:46:00Z</dcterms:created>
  <dcterms:modified xsi:type="dcterms:W3CDTF">2025-08-26T12:46:00Z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