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6F79E6D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EC31C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10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26F79E6D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EC31CB">
                        <w:rPr>
                          <w:b/>
                          <w:bCs/>
                          <w:color w:val="FFFFFF" w:themeColor="background1"/>
                        </w:rPr>
                        <w:t>10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195"/>
        <w:gridCol w:w="6316"/>
        <w:gridCol w:w="556"/>
      </w:tblGrid>
      <w:tr w:rsidR="00774A94" w14:paraId="3A9EBB0D" w14:textId="77777777" w:rsidTr="00774A94">
        <w:tc>
          <w:tcPr>
            <w:tcW w:w="9067" w:type="dxa"/>
            <w:gridSpan w:val="3"/>
            <w:shd w:val="clear" w:color="auto" w:fill="9E95BD"/>
          </w:tcPr>
          <w:p w14:paraId="35F60807" w14:textId="71637BB0" w:rsidR="00774A94" w:rsidRPr="00E55F77" w:rsidRDefault="00F414FA" w:rsidP="00774A94">
            <w:pPr>
              <w:pStyle w:val="Flietext"/>
              <w:jc w:val="center"/>
              <w:rPr>
                <w:lang w:val="de-DE"/>
              </w:rPr>
            </w:pPr>
            <w:bookmarkStart w:id="0" w:name="_Hlk203979620"/>
            <w:r w:rsidRPr="00F414FA">
              <w:rPr>
                <w:b/>
                <w:bCs/>
                <w:color w:val="FFFFFF" w:themeColor="background1"/>
                <w:sz w:val="32"/>
                <w:szCs w:val="32"/>
                <w:lang w:val="de-DE"/>
              </w:rPr>
              <w:t>Minicheck spätes Stadium: Ressourcen entdecken und nutzen</w:t>
            </w:r>
          </w:p>
        </w:tc>
      </w:tr>
      <w:tr w:rsidR="001C0A60" w14:paraId="602E0D60" w14:textId="77777777" w:rsidTr="00671141">
        <w:tc>
          <w:tcPr>
            <w:tcW w:w="2195" w:type="dxa"/>
            <w:shd w:val="clear" w:color="auto" w:fill="EBE9F2"/>
          </w:tcPr>
          <w:p w14:paraId="767AB8A3" w14:textId="3EB7F951" w:rsidR="001C0A60" w:rsidRPr="00F35E29" w:rsidRDefault="001C0A60" w:rsidP="001C0A60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Kognition</w:t>
            </w:r>
          </w:p>
        </w:tc>
        <w:tc>
          <w:tcPr>
            <w:tcW w:w="6316" w:type="dxa"/>
          </w:tcPr>
          <w:p w14:paraId="5D0A3A07" w14:textId="35C1AE84" w:rsidR="001C0A60" w:rsidRPr="001C0A60" w:rsidRDefault="001C0A60" w:rsidP="001C0A6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1C0A60">
              <w:rPr>
                <w:color w:val="302750"/>
                <w:sz w:val="24"/>
                <w:szCs w:val="24"/>
                <w:lang w:val="de-DE"/>
              </w:rPr>
              <w:t>Basale Reizverarbeitung bleibt bestehen, einfache Reize können beruhigen</w:t>
            </w:r>
          </w:p>
        </w:tc>
        <w:tc>
          <w:tcPr>
            <w:tcW w:w="556" w:type="dxa"/>
          </w:tcPr>
          <w:p w14:paraId="6C60FF46" w14:textId="52CA5ED6" w:rsidR="001C0A60" w:rsidRPr="00E55F77" w:rsidRDefault="001C0A60" w:rsidP="001C0A60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1C0A60" w14:paraId="297E8B88" w14:textId="77777777" w:rsidTr="00671141">
        <w:tc>
          <w:tcPr>
            <w:tcW w:w="2195" w:type="dxa"/>
            <w:shd w:val="clear" w:color="auto" w:fill="EBE9F2"/>
          </w:tcPr>
          <w:p w14:paraId="61C3F9E9" w14:textId="02C697F2" w:rsidR="001C0A60" w:rsidRPr="00F35E29" w:rsidRDefault="001C0A60" w:rsidP="001C0A60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Kommunikation</w:t>
            </w:r>
          </w:p>
        </w:tc>
        <w:tc>
          <w:tcPr>
            <w:tcW w:w="6316" w:type="dxa"/>
          </w:tcPr>
          <w:p w14:paraId="365737E9" w14:textId="4F45DD04" w:rsidR="001C0A60" w:rsidRPr="001C0A60" w:rsidRDefault="001C0A60" w:rsidP="001C0A6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1C0A60">
              <w:rPr>
                <w:color w:val="302750"/>
                <w:sz w:val="24"/>
                <w:szCs w:val="24"/>
                <w:lang w:val="de-DE"/>
              </w:rPr>
              <w:t>Reaktion auf Stimme, Tonfall, Berührung vorhanden</w:t>
            </w:r>
          </w:p>
        </w:tc>
        <w:tc>
          <w:tcPr>
            <w:tcW w:w="556" w:type="dxa"/>
          </w:tcPr>
          <w:p w14:paraId="4B08BE6F" w14:textId="3DFA768F" w:rsidR="001C0A60" w:rsidRPr="00E55F77" w:rsidRDefault="001C0A60" w:rsidP="001C0A60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1C0A60" w14:paraId="6DCA61DA" w14:textId="77777777" w:rsidTr="00671141">
        <w:tc>
          <w:tcPr>
            <w:tcW w:w="2195" w:type="dxa"/>
            <w:shd w:val="clear" w:color="auto" w:fill="EBE9F2"/>
          </w:tcPr>
          <w:p w14:paraId="76BBA6C3" w14:textId="350E16F8" w:rsidR="001C0A60" w:rsidRPr="00F35E29" w:rsidRDefault="001C0A60" w:rsidP="001C0A60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Emotion</w:t>
            </w:r>
          </w:p>
        </w:tc>
        <w:tc>
          <w:tcPr>
            <w:tcW w:w="6316" w:type="dxa"/>
          </w:tcPr>
          <w:p w14:paraId="17F97630" w14:textId="254C612F" w:rsidR="001C0A60" w:rsidRPr="001C0A60" w:rsidRDefault="001C0A60" w:rsidP="001C0A6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1C0A60">
              <w:rPr>
                <w:color w:val="302750"/>
                <w:sz w:val="24"/>
                <w:szCs w:val="24"/>
                <w:lang w:val="de-DE"/>
              </w:rPr>
              <w:t>Emotionale Grundstimmungen spürbar, Nähe vermittelt Sicherheit</w:t>
            </w:r>
          </w:p>
        </w:tc>
        <w:tc>
          <w:tcPr>
            <w:tcW w:w="556" w:type="dxa"/>
          </w:tcPr>
          <w:p w14:paraId="5837BFEA" w14:textId="4CA32B1C" w:rsidR="001C0A60" w:rsidRPr="00E55F77" w:rsidRDefault="001C0A60" w:rsidP="001C0A60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1C0A60" w14:paraId="7F773544" w14:textId="77777777" w:rsidTr="00671141">
        <w:tc>
          <w:tcPr>
            <w:tcW w:w="2195" w:type="dxa"/>
            <w:shd w:val="clear" w:color="auto" w:fill="EBE9F2"/>
          </w:tcPr>
          <w:p w14:paraId="0818CCFA" w14:textId="5F8B7179" w:rsidR="001C0A60" w:rsidRPr="00F35E29" w:rsidRDefault="001C0A60" w:rsidP="001C0A60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Soziale Interaktion</w:t>
            </w:r>
          </w:p>
        </w:tc>
        <w:tc>
          <w:tcPr>
            <w:tcW w:w="6316" w:type="dxa"/>
          </w:tcPr>
          <w:p w14:paraId="3A7C5223" w14:textId="6E9AD96A" w:rsidR="001C0A60" w:rsidRPr="001C0A60" w:rsidRDefault="001C0A60" w:rsidP="001C0A6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1C0A60">
              <w:rPr>
                <w:color w:val="302750"/>
                <w:sz w:val="24"/>
                <w:szCs w:val="24"/>
                <w:lang w:val="de-DE"/>
              </w:rPr>
              <w:t>Bedürfnis nach Bindung, basale Resonanz auf vertraute Personen</w:t>
            </w:r>
          </w:p>
        </w:tc>
        <w:tc>
          <w:tcPr>
            <w:tcW w:w="556" w:type="dxa"/>
          </w:tcPr>
          <w:p w14:paraId="4E67CED9" w14:textId="2AB99EE0" w:rsidR="001C0A60" w:rsidRPr="00C374B4" w:rsidRDefault="001C0A60" w:rsidP="001C0A60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tr w:rsidR="001C0A60" w14:paraId="43EB11DA" w14:textId="77777777" w:rsidTr="00671141">
        <w:tc>
          <w:tcPr>
            <w:tcW w:w="2195" w:type="dxa"/>
            <w:shd w:val="clear" w:color="auto" w:fill="EBE9F2"/>
          </w:tcPr>
          <w:p w14:paraId="1B437B20" w14:textId="542450F4" w:rsidR="001C0A60" w:rsidRPr="00F35E29" w:rsidRDefault="001C0A60" w:rsidP="001C0A60">
            <w:pPr>
              <w:pStyle w:val="Flietext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F35E29">
              <w:rPr>
                <w:b/>
                <w:bCs/>
                <w:color w:val="302750"/>
                <w:sz w:val="24"/>
                <w:szCs w:val="24"/>
                <w:lang w:val="de-DE"/>
              </w:rPr>
              <w:t>Alltagskompetenz</w:t>
            </w:r>
          </w:p>
        </w:tc>
        <w:tc>
          <w:tcPr>
            <w:tcW w:w="6316" w:type="dxa"/>
          </w:tcPr>
          <w:p w14:paraId="06D73333" w14:textId="4B583CC4" w:rsidR="001C0A60" w:rsidRPr="001C0A60" w:rsidRDefault="001C0A60" w:rsidP="001C0A60">
            <w:pPr>
              <w:pStyle w:val="Flietext"/>
              <w:rPr>
                <w:color w:val="302750"/>
                <w:sz w:val="24"/>
                <w:szCs w:val="24"/>
                <w:lang w:val="de-DE"/>
              </w:rPr>
            </w:pPr>
            <w:r w:rsidRPr="001C0A60">
              <w:rPr>
                <w:color w:val="302750"/>
                <w:sz w:val="24"/>
                <w:szCs w:val="24"/>
                <w:lang w:val="de-DE"/>
              </w:rPr>
              <w:t>Reaktion auf bekannte Musik, Düfte, basale motorische Reflexe, kleinteilige Anpassung erforderlich für Teilhabe</w:t>
            </w:r>
          </w:p>
        </w:tc>
        <w:tc>
          <w:tcPr>
            <w:tcW w:w="556" w:type="dxa"/>
          </w:tcPr>
          <w:p w14:paraId="08D3E454" w14:textId="2E10B8B7" w:rsidR="001C0A60" w:rsidRPr="00C374B4" w:rsidRDefault="001C0A60" w:rsidP="001C0A60">
            <w:pPr>
              <w:pStyle w:val="Flietext"/>
              <w:rPr>
                <w:lang w:val="de-DE"/>
              </w:rPr>
            </w:pPr>
            <w:r w:rsidRPr="00106A46">
              <w:rPr>
                <w:sz w:val="32"/>
                <w:szCs w:val="32"/>
                <w:lang w:val="de-DE"/>
              </w:rPr>
              <w:t>☐</w:t>
            </w:r>
          </w:p>
        </w:tc>
      </w:tr>
      <w:bookmarkEnd w:id="0"/>
    </w:tbl>
    <w:p w14:paraId="63866BA0" w14:textId="77777777" w:rsidR="00774A94" w:rsidRDefault="00774A94"/>
    <w:p w14:paraId="290B15C3" w14:textId="77777777" w:rsidR="00774A94" w:rsidRDefault="00774A94"/>
    <w:p w14:paraId="61EB231A" w14:textId="77777777" w:rsidR="009D69CC" w:rsidRDefault="009D69CC"/>
    <w:p w14:paraId="155DB7C3" w14:textId="3CD9A6EF" w:rsidR="00275440" w:rsidRDefault="00275440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1"/>
  </w:num>
  <w:num w:numId="2" w16cid:durableId="1981612574">
    <w:abstractNumId w:val="5"/>
  </w:num>
  <w:num w:numId="3" w16cid:durableId="778765061">
    <w:abstractNumId w:val="2"/>
  </w:num>
  <w:num w:numId="4" w16cid:durableId="1678733039">
    <w:abstractNumId w:val="1"/>
  </w:num>
  <w:num w:numId="5" w16cid:durableId="924806966">
    <w:abstractNumId w:val="3"/>
  </w:num>
  <w:num w:numId="6" w16cid:durableId="1795096716">
    <w:abstractNumId w:val="6"/>
  </w:num>
  <w:num w:numId="7" w16cid:durableId="969285125">
    <w:abstractNumId w:val="1"/>
  </w:num>
  <w:num w:numId="8" w16cid:durableId="1351755828">
    <w:abstractNumId w:val="1"/>
  </w:num>
  <w:num w:numId="9" w16cid:durableId="1979069324">
    <w:abstractNumId w:val="1"/>
  </w:num>
  <w:num w:numId="10" w16cid:durableId="580020804">
    <w:abstractNumId w:val="1"/>
  </w:num>
  <w:num w:numId="11" w16cid:durableId="410932517">
    <w:abstractNumId w:val="9"/>
  </w:num>
  <w:num w:numId="12" w16cid:durableId="745537956">
    <w:abstractNumId w:val="8"/>
  </w:num>
  <w:num w:numId="13" w16cid:durableId="1462964536">
    <w:abstractNumId w:val="0"/>
  </w:num>
  <w:num w:numId="14" w16cid:durableId="5641672">
    <w:abstractNumId w:val="10"/>
  </w:num>
  <w:num w:numId="15" w16cid:durableId="1156259641">
    <w:abstractNumId w:val="7"/>
  </w:num>
  <w:num w:numId="16" w16cid:durableId="583807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2733F"/>
    <w:rsid w:val="000443F8"/>
    <w:rsid w:val="00064B77"/>
    <w:rsid w:val="000650C1"/>
    <w:rsid w:val="00072897"/>
    <w:rsid w:val="00075A6C"/>
    <w:rsid w:val="00090F95"/>
    <w:rsid w:val="00095262"/>
    <w:rsid w:val="00095529"/>
    <w:rsid w:val="000D0A47"/>
    <w:rsid w:val="000F6448"/>
    <w:rsid w:val="001014C4"/>
    <w:rsid w:val="00102EC5"/>
    <w:rsid w:val="00106A46"/>
    <w:rsid w:val="00144291"/>
    <w:rsid w:val="0014574B"/>
    <w:rsid w:val="0014736B"/>
    <w:rsid w:val="0016004F"/>
    <w:rsid w:val="00161350"/>
    <w:rsid w:val="001913BD"/>
    <w:rsid w:val="001B55D9"/>
    <w:rsid w:val="001B72E2"/>
    <w:rsid w:val="001C0A60"/>
    <w:rsid w:val="001F6876"/>
    <w:rsid w:val="001F72A9"/>
    <w:rsid w:val="00271140"/>
    <w:rsid w:val="00275440"/>
    <w:rsid w:val="00290C86"/>
    <w:rsid w:val="002959C5"/>
    <w:rsid w:val="002B3087"/>
    <w:rsid w:val="002B6182"/>
    <w:rsid w:val="002C52B7"/>
    <w:rsid w:val="002F3267"/>
    <w:rsid w:val="003005CA"/>
    <w:rsid w:val="00331B62"/>
    <w:rsid w:val="00333EEC"/>
    <w:rsid w:val="00337D6F"/>
    <w:rsid w:val="003405CA"/>
    <w:rsid w:val="00344697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12101"/>
    <w:rsid w:val="004342D5"/>
    <w:rsid w:val="00442F98"/>
    <w:rsid w:val="00451B15"/>
    <w:rsid w:val="0045444F"/>
    <w:rsid w:val="00456842"/>
    <w:rsid w:val="00467ECD"/>
    <w:rsid w:val="0049455E"/>
    <w:rsid w:val="004C37E7"/>
    <w:rsid w:val="004D7817"/>
    <w:rsid w:val="004F18D6"/>
    <w:rsid w:val="005909A1"/>
    <w:rsid w:val="00590D89"/>
    <w:rsid w:val="00597AFD"/>
    <w:rsid w:val="005B246A"/>
    <w:rsid w:val="005D2F8E"/>
    <w:rsid w:val="005D78E5"/>
    <w:rsid w:val="005E54A9"/>
    <w:rsid w:val="005F2724"/>
    <w:rsid w:val="006129D1"/>
    <w:rsid w:val="00616EDB"/>
    <w:rsid w:val="00640E86"/>
    <w:rsid w:val="00671141"/>
    <w:rsid w:val="006A11FE"/>
    <w:rsid w:val="006A1936"/>
    <w:rsid w:val="006A242B"/>
    <w:rsid w:val="006B6B78"/>
    <w:rsid w:val="006C05E8"/>
    <w:rsid w:val="006C4CDD"/>
    <w:rsid w:val="006D3CD4"/>
    <w:rsid w:val="006D5028"/>
    <w:rsid w:val="007272DE"/>
    <w:rsid w:val="00727D60"/>
    <w:rsid w:val="00732FDA"/>
    <w:rsid w:val="00733B41"/>
    <w:rsid w:val="0074241F"/>
    <w:rsid w:val="00766773"/>
    <w:rsid w:val="00774A94"/>
    <w:rsid w:val="007A3E0D"/>
    <w:rsid w:val="007D7986"/>
    <w:rsid w:val="007E1AF2"/>
    <w:rsid w:val="007E1FE7"/>
    <w:rsid w:val="0080720F"/>
    <w:rsid w:val="00844FD9"/>
    <w:rsid w:val="00850B6E"/>
    <w:rsid w:val="00863A45"/>
    <w:rsid w:val="0090486F"/>
    <w:rsid w:val="009106FE"/>
    <w:rsid w:val="00920E4E"/>
    <w:rsid w:val="009262D4"/>
    <w:rsid w:val="00935879"/>
    <w:rsid w:val="00937B27"/>
    <w:rsid w:val="009422CB"/>
    <w:rsid w:val="00945DC8"/>
    <w:rsid w:val="009A3F1F"/>
    <w:rsid w:val="009C5E27"/>
    <w:rsid w:val="009D27B5"/>
    <w:rsid w:val="009D3A29"/>
    <w:rsid w:val="009D69CC"/>
    <w:rsid w:val="009F6BD3"/>
    <w:rsid w:val="00A00078"/>
    <w:rsid w:val="00A00127"/>
    <w:rsid w:val="00A06D08"/>
    <w:rsid w:val="00A104D7"/>
    <w:rsid w:val="00A2193B"/>
    <w:rsid w:val="00A35024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AA5DAD"/>
    <w:rsid w:val="00AF753C"/>
    <w:rsid w:val="00B13114"/>
    <w:rsid w:val="00B137B3"/>
    <w:rsid w:val="00B16BB4"/>
    <w:rsid w:val="00B343D7"/>
    <w:rsid w:val="00B3655F"/>
    <w:rsid w:val="00B52401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2DEE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87987"/>
    <w:rsid w:val="00D9058A"/>
    <w:rsid w:val="00D9660F"/>
    <w:rsid w:val="00DC182E"/>
    <w:rsid w:val="00DD371C"/>
    <w:rsid w:val="00DF6CBB"/>
    <w:rsid w:val="00E05171"/>
    <w:rsid w:val="00E14821"/>
    <w:rsid w:val="00E15CAC"/>
    <w:rsid w:val="00E522D3"/>
    <w:rsid w:val="00E54AF4"/>
    <w:rsid w:val="00E70838"/>
    <w:rsid w:val="00E81A77"/>
    <w:rsid w:val="00E904D6"/>
    <w:rsid w:val="00E90521"/>
    <w:rsid w:val="00EC31CB"/>
    <w:rsid w:val="00ED0276"/>
    <w:rsid w:val="00F044D8"/>
    <w:rsid w:val="00F15F95"/>
    <w:rsid w:val="00F33E12"/>
    <w:rsid w:val="00F35E29"/>
    <w:rsid w:val="00F3746C"/>
    <w:rsid w:val="00F414FA"/>
    <w:rsid w:val="00F639B9"/>
    <w:rsid w:val="00F70BC8"/>
    <w:rsid w:val="00F72AE6"/>
    <w:rsid w:val="00F90969"/>
    <w:rsid w:val="00FA1E7D"/>
    <w:rsid w:val="00FC104B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2025-09-29T06:20:00Z</dcterms:created>
  <dcterms:modified xsi:type="dcterms:W3CDTF">2025-09-29T06:20:00Z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