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A4152CA" w14:textId="14A5C6C8" w:rsidR="00AE28B1" w:rsidRDefault="00AE28B1" w:rsidP="00AE28B1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ellenraster"/>
        <w:tblW w:w="10768" w:type="dxa"/>
        <w:jc w:val="center"/>
        <w:tblLook w:val="04A0" w:firstRow="1" w:lastRow="0" w:firstColumn="1" w:lastColumn="0" w:noHBand="0" w:noVBand="1"/>
      </w:tblPr>
      <w:tblGrid>
        <w:gridCol w:w="2830"/>
        <w:gridCol w:w="3823"/>
        <w:gridCol w:w="4115"/>
      </w:tblGrid>
      <w:tr w:rsidR="00AE28B1" w:rsidRPr="00AE28B1" w14:paraId="1DAAE0B4" w14:textId="77777777" w:rsidTr="00AE28B1">
        <w:trPr>
          <w:trHeight w:val="146"/>
          <w:jc w:val="center"/>
        </w:trPr>
        <w:tc>
          <w:tcPr>
            <w:tcW w:w="10768" w:type="dxa"/>
            <w:gridSpan w:val="3"/>
            <w:shd w:val="clear" w:color="auto" w:fill="193965"/>
          </w:tcPr>
          <w:p w14:paraId="038B9A4B" w14:textId="67431C69" w:rsidR="00AE28B1" w:rsidRPr="00AE28B1" w:rsidRDefault="00AE28B1" w:rsidP="00AE28B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E28B1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</w:t>
            </w:r>
            <w:r w:rsidRPr="00AE28B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: </w:t>
            </w:r>
            <w:r w:rsidRPr="00AE28B1">
              <w:rPr>
                <w:rFonts w:ascii="Arial" w:hAnsi="Arial" w:cs="Arial"/>
                <w:b/>
                <w:color w:val="FFFFFF"/>
                <w:sz w:val="28"/>
                <w:szCs w:val="28"/>
              </w:rPr>
              <w:t>Therapieansätze im Überblick</w:t>
            </w:r>
          </w:p>
        </w:tc>
      </w:tr>
      <w:tr w:rsidR="00AE28B1" w:rsidRPr="00AE28B1" w14:paraId="7F2A8BF5" w14:textId="77777777" w:rsidTr="00AE28B1">
        <w:trPr>
          <w:trHeight w:val="146"/>
          <w:jc w:val="center"/>
        </w:trPr>
        <w:tc>
          <w:tcPr>
            <w:tcW w:w="2830" w:type="dxa"/>
            <w:shd w:val="clear" w:color="auto" w:fill="C7E3AB"/>
          </w:tcPr>
          <w:p w14:paraId="5711CF72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/>
                <w:color w:val="000000" w:themeColor="text1"/>
                <w:sz w:val="24"/>
              </w:rPr>
              <w:t>Therapieform</w:t>
            </w:r>
          </w:p>
        </w:tc>
        <w:tc>
          <w:tcPr>
            <w:tcW w:w="3823" w:type="dxa"/>
            <w:shd w:val="clear" w:color="auto" w:fill="C7E3AB"/>
          </w:tcPr>
          <w:p w14:paraId="61502DDE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/>
                <w:color w:val="000000" w:themeColor="text1"/>
                <w:sz w:val="24"/>
              </w:rPr>
              <w:t>Behandlungsziel</w:t>
            </w:r>
          </w:p>
        </w:tc>
        <w:tc>
          <w:tcPr>
            <w:tcW w:w="4115" w:type="dxa"/>
            <w:shd w:val="clear" w:color="auto" w:fill="C7E3AB"/>
          </w:tcPr>
          <w:p w14:paraId="5BFC753D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/>
                <w:color w:val="000000" w:themeColor="text1"/>
                <w:sz w:val="24"/>
              </w:rPr>
              <w:t>Beispiele (Medikamente / Methoden)</w:t>
            </w:r>
          </w:p>
        </w:tc>
      </w:tr>
      <w:tr w:rsidR="00AE28B1" w:rsidRPr="00AE28B1" w14:paraId="5416F26D" w14:textId="77777777" w:rsidTr="00AE28B1">
        <w:trPr>
          <w:trHeight w:val="630"/>
          <w:jc w:val="center"/>
        </w:trPr>
        <w:tc>
          <w:tcPr>
            <w:tcW w:w="2830" w:type="dxa"/>
          </w:tcPr>
          <w:p w14:paraId="1E483E4D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Memantin</w:t>
            </w:r>
          </w:p>
        </w:tc>
        <w:tc>
          <w:tcPr>
            <w:tcW w:w="3823" w:type="dxa"/>
          </w:tcPr>
          <w:p w14:paraId="548AD308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Schutz vor einer Überreizung der Nervenzellen</w:t>
            </w:r>
          </w:p>
        </w:tc>
        <w:tc>
          <w:tcPr>
            <w:tcW w:w="4115" w:type="dxa"/>
          </w:tcPr>
          <w:p w14:paraId="6CCEC98C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Memantin</w:t>
            </w:r>
          </w:p>
        </w:tc>
      </w:tr>
      <w:tr w:rsidR="00AE28B1" w:rsidRPr="00AE28B1" w14:paraId="5F14FECE" w14:textId="77777777" w:rsidTr="00AE28B1">
        <w:trPr>
          <w:trHeight w:val="630"/>
          <w:jc w:val="center"/>
        </w:trPr>
        <w:tc>
          <w:tcPr>
            <w:tcW w:w="2830" w:type="dxa"/>
          </w:tcPr>
          <w:p w14:paraId="0F5F0F1A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Cholinesterase-Hemmer</w:t>
            </w:r>
          </w:p>
        </w:tc>
        <w:tc>
          <w:tcPr>
            <w:tcW w:w="3823" w:type="dxa"/>
          </w:tcPr>
          <w:p w14:paraId="4CD30135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Erhalt kognitiver Leistungsfähigkeit</w:t>
            </w:r>
          </w:p>
        </w:tc>
        <w:tc>
          <w:tcPr>
            <w:tcW w:w="4115" w:type="dxa"/>
          </w:tcPr>
          <w:p w14:paraId="55E220E6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Donepezil, Galantamin, </w:t>
            </w:r>
            <w:proofErr w:type="spellStart"/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Rivastigmin</w:t>
            </w:r>
            <w:proofErr w:type="spellEnd"/>
          </w:p>
        </w:tc>
      </w:tr>
      <w:tr w:rsidR="00AE28B1" w:rsidRPr="00AE28B1" w14:paraId="27239C35" w14:textId="77777777" w:rsidTr="00AE28B1">
        <w:trPr>
          <w:trHeight w:val="457"/>
          <w:jc w:val="center"/>
        </w:trPr>
        <w:tc>
          <w:tcPr>
            <w:tcW w:w="2830" w:type="dxa"/>
          </w:tcPr>
          <w:p w14:paraId="43800A37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Antikörpertherapie</w:t>
            </w:r>
          </w:p>
        </w:tc>
        <w:tc>
          <w:tcPr>
            <w:tcW w:w="3823" w:type="dxa"/>
          </w:tcPr>
          <w:p w14:paraId="2214B09B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Abbau krankhafter Amyloid-Ablagerungen</w:t>
            </w:r>
          </w:p>
        </w:tc>
        <w:tc>
          <w:tcPr>
            <w:tcW w:w="4115" w:type="dxa"/>
          </w:tcPr>
          <w:p w14:paraId="0EC7EEDF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proofErr w:type="spellStart"/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Lecanemab</w:t>
            </w:r>
            <w:proofErr w:type="spellEnd"/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, </w:t>
            </w:r>
            <w:proofErr w:type="spellStart"/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Donanemab</w:t>
            </w:r>
            <w:proofErr w:type="spellEnd"/>
          </w:p>
        </w:tc>
      </w:tr>
      <w:tr w:rsidR="00AE28B1" w:rsidRPr="00AE28B1" w14:paraId="15F57AD5" w14:textId="77777777" w:rsidTr="00AE28B1">
        <w:trPr>
          <w:trHeight w:val="457"/>
          <w:jc w:val="center"/>
        </w:trPr>
        <w:tc>
          <w:tcPr>
            <w:tcW w:w="2830" w:type="dxa"/>
          </w:tcPr>
          <w:p w14:paraId="1C2C63C4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Kognitive Aktivierung</w:t>
            </w:r>
          </w:p>
        </w:tc>
        <w:tc>
          <w:tcPr>
            <w:tcW w:w="3823" w:type="dxa"/>
          </w:tcPr>
          <w:p w14:paraId="6DFC06C1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Erhalt kognitiver Fähigkeiten, Förderung von Konzentration und Gedächtnis</w:t>
            </w:r>
          </w:p>
        </w:tc>
        <w:tc>
          <w:tcPr>
            <w:tcW w:w="4115" w:type="dxa"/>
          </w:tcPr>
          <w:p w14:paraId="789C0EEC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Gedächtnistraining, Quizrunden, Realitätsorientierung (im Frühstadium der Demenz)</w:t>
            </w:r>
          </w:p>
        </w:tc>
      </w:tr>
      <w:tr w:rsidR="00AE28B1" w:rsidRPr="00AE28B1" w14:paraId="2A773BCA" w14:textId="77777777" w:rsidTr="00AE28B1">
        <w:trPr>
          <w:trHeight w:val="457"/>
          <w:jc w:val="center"/>
        </w:trPr>
        <w:tc>
          <w:tcPr>
            <w:tcW w:w="2830" w:type="dxa"/>
          </w:tcPr>
          <w:p w14:paraId="0576040A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proofErr w:type="spellStart"/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Biografiearbeit</w:t>
            </w:r>
            <w:proofErr w:type="spellEnd"/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3823" w:type="dxa"/>
          </w:tcPr>
          <w:p w14:paraId="1B85B220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Anknüpfen an positive Erinnerungen, Förderung der Ich-Identität und des Selbstwertgefühls</w:t>
            </w:r>
          </w:p>
        </w:tc>
        <w:tc>
          <w:tcPr>
            <w:tcW w:w="4115" w:type="dxa"/>
          </w:tcPr>
          <w:p w14:paraId="730F3BD4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Gesprächs- oder aktivitätsgestützte Erinnerungsarbeit, z. B. Ansehen von Fotoalben, Erzählen von Lebensgeschichten etc.</w:t>
            </w:r>
          </w:p>
        </w:tc>
      </w:tr>
      <w:tr w:rsidR="00AE28B1" w:rsidRPr="00AE28B1" w14:paraId="421D70AF" w14:textId="77777777" w:rsidTr="00AE28B1">
        <w:trPr>
          <w:trHeight w:val="457"/>
          <w:jc w:val="center"/>
        </w:trPr>
        <w:tc>
          <w:tcPr>
            <w:tcW w:w="2830" w:type="dxa"/>
          </w:tcPr>
          <w:p w14:paraId="3B3D6CF4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Validation</w:t>
            </w:r>
          </w:p>
        </w:tc>
        <w:tc>
          <w:tcPr>
            <w:tcW w:w="3823" w:type="dxa"/>
          </w:tcPr>
          <w:p w14:paraId="3E89ABCD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Gefühle und Antriebe erspüren, Wertschätzung geben</w:t>
            </w:r>
          </w:p>
        </w:tc>
        <w:tc>
          <w:tcPr>
            <w:tcW w:w="4115" w:type="dxa"/>
          </w:tcPr>
          <w:p w14:paraId="4290A52C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Keine Korrektur, sondern empathisches Eingehen auf die Bedürfnisse </w:t>
            </w:r>
          </w:p>
        </w:tc>
      </w:tr>
      <w:tr w:rsidR="00AE28B1" w:rsidRPr="00AE28B1" w14:paraId="4336450A" w14:textId="77777777" w:rsidTr="00AE28B1">
        <w:trPr>
          <w:trHeight w:val="457"/>
          <w:jc w:val="center"/>
        </w:trPr>
        <w:tc>
          <w:tcPr>
            <w:tcW w:w="2830" w:type="dxa"/>
          </w:tcPr>
          <w:p w14:paraId="7E78D265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Bewegungsübungen</w:t>
            </w:r>
          </w:p>
        </w:tc>
        <w:tc>
          <w:tcPr>
            <w:tcW w:w="3823" w:type="dxa"/>
          </w:tcPr>
          <w:p w14:paraId="7C2C7150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Förderung der Mobilität, Koordination und Körperwahrnehmung</w:t>
            </w:r>
          </w:p>
        </w:tc>
        <w:tc>
          <w:tcPr>
            <w:tcW w:w="4115" w:type="dxa"/>
          </w:tcPr>
          <w:p w14:paraId="5003F762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Seniorengymnastik, Sitztänze, Spaziergänge, Tanznachmittage</w:t>
            </w:r>
          </w:p>
        </w:tc>
      </w:tr>
      <w:tr w:rsidR="00AE28B1" w:rsidRPr="00AE28B1" w14:paraId="68D260E7" w14:textId="77777777" w:rsidTr="00AE28B1">
        <w:trPr>
          <w:trHeight w:val="457"/>
          <w:jc w:val="center"/>
        </w:trPr>
        <w:tc>
          <w:tcPr>
            <w:tcW w:w="2830" w:type="dxa"/>
          </w:tcPr>
          <w:p w14:paraId="140373B1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Musik</w:t>
            </w:r>
          </w:p>
        </w:tc>
        <w:tc>
          <w:tcPr>
            <w:tcW w:w="3823" w:type="dxa"/>
          </w:tcPr>
          <w:p w14:paraId="637A05B8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Emotionale Aktivierung, Förderung von Wohlbefinden und Kommunikation</w:t>
            </w:r>
          </w:p>
        </w:tc>
        <w:tc>
          <w:tcPr>
            <w:tcW w:w="4115" w:type="dxa"/>
          </w:tcPr>
          <w:p w14:paraId="5B3A5B6E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Aktives oder rezeptives Musizieren</w:t>
            </w:r>
          </w:p>
        </w:tc>
      </w:tr>
      <w:tr w:rsidR="00AE28B1" w:rsidRPr="00AE28B1" w14:paraId="3A1B55E0" w14:textId="77777777" w:rsidTr="00AE28B1">
        <w:trPr>
          <w:trHeight w:val="457"/>
          <w:jc w:val="center"/>
        </w:trPr>
        <w:tc>
          <w:tcPr>
            <w:tcW w:w="2830" w:type="dxa"/>
          </w:tcPr>
          <w:p w14:paraId="69DC64DE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Kreatives Gestalten</w:t>
            </w:r>
          </w:p>
        </w:tc>
        <w:tc>
          <w:tcPr>
            <w:tcW w:w="3823" w:type="dxa"/>
          </w:tcPr>
          <w:p w14:paraId="47168884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Stimulierung von Kreativität, nonverbale Ausdrucksmöglichkeit</w:t>
            </w:r>
          </w:p>
        </w:tc>
        <w:tc>
          <w:tcPr>
            <w:tcW w:w="4115" w:type="dxa"/>
          </w:tcPr>
          <w:p w14:paraId="4680110F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Gestalten mit unterschiedlichen Materialien, Malen etc.</w:t>
            </w:r>
          </w:p>
        </w:tc>
      </w:tr>
      <w:tr w:rsidR="00AE28B1" w:rsidRPr="00AE28B1" w14:paraId="4ACF73DD" w14:textId="77777777" w:rsidTr="00AE28B1">
        <w:trPr>
          <w:trHeight w:val="457"/>
          <w:jc w:val="center"/>
        </w:trPr>
        <w:tc>
          <w:tcPr>
            <w:tcW w:w="2830" w:type="dxa"/>
          </w:tcPr>
          <w:p w14:paraId="45BA3BA8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Tiergestützte Therapie</w:t>
            </w:r>
          </w:p>
        </w:tc>
        <w:tc>
          <w:tcPr>
            <w:tcW w:w="3823" w:type="dxa"/>
          </w:tcPr>
          <w:p w14:paraId="148F683C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Stimmungsaufhellung, Abbau von Einsamkeit, Kontaktförderung</w:t>
            </w:r>
          </w:p>
        </w:tc>
        <w:tc>
          <w:tcPr>
            <w:tcW w:w="4115" w:type="dxa"/>
          </w:tcPr>
          <w:p w14:paraId="5C9E9538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Hundebesuchsdienste etc.</w:t>
            </w:r>
          </w:p>
        </w:tc>
      </w:tr>
      <w:tr w:rsidR="00AE28B1" w:rsidRPr="00AE28B1" w14:paraId="2DB51EEA" w14:textId="77777777" w:rsidTr="00AE28B1">
        <w:trPr>
          <w:trHeight w:val="457"/>
          <w:jc w:val="center"/>
        </w:trPr>
        <w:tc>
          <w:tcPr>
            <w:tcW w:w="2830" w:type="dxa"/>
          </w:tcPr>
          <w:p w14:paraId="139CBC0E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Aromatherapie</w:t>
            </w:r>
          </w:p>
        </w:tc>
        <w:tc>
          <w:tcPr>
            <w:tcW w:w="3823" w:type="dxa"/>
          </w:tcPr>
          <w:p w14:paraId="7EE72598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Stimulierung der Sinne, Förderung von Entspannung und des Wohlbefindens</w:t>
            </w:r>
          </w:p>
        </w:tc>
        <w:tc>
          <w:tcPr>
            <w:tcW w:w="4115" w:type="dxa"/>
          </w:tcPr>
          <w:p w14:paraId="049A477C" w14:textId="77777777" w:rsidR="00AE28B1" w:rsidRPr="00AE28B1" w:rsidRDefault="00AE28B1" w:rsidP="00AE28B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E28B1">
              <w:rPr>
                <w:rFonts w:ascii="Arial" w:hAnsi="Arial" w:cs="Arial"/>
                <w:bCs/>
                <w:color w:val="000000" w:themeColor="text1"/>
                <w:sz w:val="24"/>
              </w:rPr>
              <w:t>Duftlampen, Einreibungen mit ätherischen Ölen (Allergien beachten!)</w:t>
            </w:r>
          </w:p>
        </w:tc>
      </w:tr>
    </w:tbl>
    <w:p w14:paraId="7EEE58DC" w14:textId="77777777" w:rsidR="00D10D40" w:rsidRPr="00393FE5" w:rsidRDefault="00D10D40" w:rsidP="00393FE5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D10D40" w:rsidRPr="00393FE5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520369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43A48">
            <w:rPr>
              <w:b/>
              <w:color w:val="FFFFFF"/>
              <w:sz w:val="24"/>
            </w:rPr>
            <w:t>19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24E7F"/>
    <w:multiLevelType w:val="hybridMultilevel"/>
    <w:tmpl w:val="B8FE5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7634"/>
    <w:multiLevelType w:val="hybridMultilevel"/>
    <w:tmpl w:val="D9FAC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87042856">
    <w:abstractNumId w:val="9"/>
  </w:num>
  <w:num w:numId="24" w16cid:durableId="14308080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4316E"/>
    <w:rsid w:val="0015409B"/>
    <w:rsid w:val="00197AF9"/>
    <w:rsid w:val="001B429B"/>
    <w:rsid w:val="001D71D3"/>
    <w:rsid w:val="001E445D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93FE5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28B1"/>
    <w:rsid w:val="00AE4D06"/>
    <w:rsid w:val="00B01FFE"/>
    <w:rsid w:val="00B707AF"/>
    <w:rsid w:val="00B87D52"/>
    <w:rsid w:val="00BC398F"/>
    <w:rsid w:val="00BD71E9"/>
    <w:rsid w:val="00C135D1"/>
    <w:rsid w:val="00C310AF"/>
    <w:rsid w:val="00C43A48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Gitternetztabelle1hell">
    <w:name w:val="Grid Table 1 Light"/>
    <w:basedOn w:val="NormaleTabelle"/>
    <w:uiPriority w:val="46"/>
    <w:rsid w:val="00393FE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uiPriority w:val="39"/>
    <w:rsid w:val="00AE28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2025-09-09T10:29:00Z</dcterms:created>
  <dcterms:modified xsi:type="dcterms:W3CDTF">2025-09-09T10:29:00Z</dcterms:modified>
</cp:coreProperties>
</file>