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DFE18" w14:textId="11D54082" w:rsidR="009D3A29" w:rsidRDefault="003B050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187898" wp14:editId="4764E4A3">
                <wp:simplePos x="0" y="0"/>
                <wp:positionH relativeFrom="column">
                  <wp:posOffset>4954905</wp:posOffset>
                </wp:positionH>
                <wp:positionV relativeFrom="paragraph">
                  <wp:posOffset>713105</wp:posOffset>
                </wp:positionV>
                <wp:extent cx="1200150" cy="374650"/>
                <wp:effectExtent l="0" t="0" r="19050" b="25400"/>
                <wp:wrapNone/>
                <wp:docPr id="339826533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374650"/>
                        </a:xfrm>
                        <a:prstGeom prst="rect">
                          <a:avLst/>
                        </a:prstGeom>
                        <a:solidFill>
                          <a:srgbClr val="666699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43083A" w14:textId="363C1A01" w:rsidR="003B050E" w:rsidRPr="003B050E" w:rsidRDefault="003B050E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3B050E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Ausgabe </w:t>
                            </w:r>
                            <w:r w:rsidR="00CA1A30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10</w:t>
                            </w:r>
                            <w:r w:rsidRPr="003B050E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/25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D187898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390.15pt;margin-top:56.15pt;width:94.5pt;height:29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" fillcolor="#669" strokeweight=".5pt">
                <v:textbox>
                  <w:txbxContent>
                    <w:p w14:paraId="5143083A" w14:textId="363C1A01" w:rsidR="003B050E" w:rsidRPr="003B050E" w:rsidRDefault="003B050E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3B050E">
                        <w:rPr>
                          <w:b/>
                          <w:bCs/>
                          <w:color w:val="FFFFFF" w:themeColor="background1"/>
                        </w:rPr>
                        <w:t xml:space="preserve">Ausgabe </w:t>
                      </w:r>
                      <w:r w:rsidR="00CA1A30">
                        <w:rPr>
                          <w:b/>
                          <w:bCs/>
                          <w:color w:val="FFFFFF" w:themeColor="background1"/>
                        </w:rPr>
                        <w:t>10</w:t>
                      </w:r>
                      <w:r w:rsidRPr="003B050E">
                        <w:rPr>
                          <w:b/>
                          <w:bCs/>
                          <w:color w:val="FFFFFF" w:themeColor="background1"/>
                        </w:rPr>
                        <w:t>/25</w:t>
                      </w:r>
                    </w:p>
                  </w:txbxContent>
                </v:textbox>
              </v:shape>
            </w:pict>
          </mc:Fallback>
        </mc:AlternateContent>
      </w:r>
      <w:r w:rsidRPr="003B050E">
        <w:rPr>
          <w:noProof/>
        </w:rPr>
        <w:drawing>
          <wp:inline distT="0" distB="0" distL="0" distR="0" wp14:anchorId="1FAB2CC5" wp14:editId="43558CA7">
            <wp:extent cx="4889500" cy="1095717"/>
            <wp:effectExtent l="0" t="0" r="6350" b="9525"/>
            <wp:docPr id="186633434" name="Grafik 1" descr="Ein Bild, das Schrift, Grafiken, Text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33434" name="Grafik 1" descr="Ein Bild, das Schrift, Grafiken, Text, Logo enthält.&#10;&#10;KI-generierte Inhalte können fehlerhaft sein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07569" cy="1099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FBFF3F" w14:textId="77777777" w:rsidR="003B050E" w:rsidRDefault="003B050E"/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B050E" w14:paraId="422510C3" w14:textId="77777777" w:rsidTr="00BF4EBF">
        <w:tc>
          <w:tcPr>
            <w:tcW w:w="9067" w:type="dxa"/>
            <w:shd w:val="clear" w:color="auto" w:fill="666699"/>
          </w:tcPr>
          <w:p w14:paraId="0F9E2CB0" w14:textId="5611F206" w:rsidR="003B050E" w:rsidRDefault="006B1ED3" w:rsidP="006B1ED3">
            <w:pPr>
              <w:jc w:val="center"/>
            </w:pPr>
            <w:r w:rsidRPr="006B1ED3">
              <w:rPr>
                <w:b/>
                <w:bCs/>
                <w:color w:val="FFFFFF" w:themeColor="background1"/>
                <w:sz w:val="32"/>
                <w:szCs w:val="32"/>
              </w:rPr>
              <w:t>Mit diesen 5 Tipps organisieren Sie</w:t>
            </w:r>
            <w:r>
              <w:rPr>
                <w:b/>
                <w:bCs/>
                <w:color w:val="FFFFFF" w:themeColor="background1"/>
                <w:sz w:val="32"/>
                <w:szCs w:val="32"/>
              </w:rPr>
              <w:t xml:space="preserve"> </w:t>
            </w:r>
            <w:r w:rsidRPr="006B1ED3">
              <w:rPr>
                <w:b/>
                <w:bCs/>
                <w:color w:val="FFFFFF" w:themeColor="background1"/>
                <w:sz w:val="32"/>
                <w:szCs w:val="32"/>
              </w:rPr>
              <w:t>eine gute Palliative Care im häuslichen Bereich</w:t>
            </w:r>
          </w:p>
        </w:tc>
      </w:tr>
      <w:tr w:rsidR="003F1682" w:rsidRPr="00792EF2" w14:paraId="7E0C44DF" w14:textId="77777777" w:rsidTr="003F1682">
        <w:tc>
          <w:tcPr>
            <w:tcW w:w="9067" w:type="dxa"/>
          </w:tcPr>
          <w:p w14:paraId="4C26716D" w14:textId="44D8E012" w:rsidR="009A2321" w:rsidRPr="009A2321" w:rsidRDefault="009A2321" w:rsidP="009A2321">
            <w:pPr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9A2321"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  <w:t>1. Tipp: Statten Sie zu Pflegende und deren Angehörige mit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9A2321"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  <w:t>verständlichem Info-Material aus</w:t>
            </w:r>
          </w:p>
          <w:p w14:paraId="79DA50AA" w14:textId="77777777" w:rsidR="009A2321" w:rsidRPr="009A2321" w:rsidRDefault="009A2321" w:rsidP="009A2321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9A2321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Ihre Einrichtung sollte zu allen palliativen Maßnahmen und Phänomenen</w:t>
            </w:r>
          </w:p>
          <w:p w14:paraId="47558EE8" w14:textId="77777777" w:rsidR="009A2321" w:rsidRPr="009A2321" w:rsidRDefault="009A2321" w:rsidP="009A2321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9A2321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verständliches Info-Material für Pflegekunden und deren Zugehörige vorhalten.</w:t>
            </w:r>
          </w:p>
          <w:p w14:paraId="38582B94" w14:textId="77777777" w:rsidR="009A2321" w:rsidRPr="009A2321" w:rsidRDefault="009A2321" w:rsidP="009A2321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9A2321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Umfangreiche Broschüren sind hierfür eher ungeeignet, denn zu viel Text</w:t>
            </w:r>
          </w:p>
          <w:p w14:paraId="298CA9AE" w14:textId="77777777" w:rsidR="009A2321" w:rsidRPr="009A2321" w:rsidRDefault="009A2321" w:rsidP="009A2321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9A2321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erschlägt den interessierten Leser. Die Praxiserfahrung zeigt, dass pro Maßnahme</w:t>
            </w:r>
          </w:p>
          <w:p w14:paraId="145634AE" w14:textId="77777777" w:rsidR="009A2321" w:rsidRPr="009A2321" w:rsidRDefault="009A2321" w:rsidP="009A2321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9A2321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ein Info-Flyer genügt, z. B. zum Todesrasseln oder zum Einsatz von</w:t>
            </w:r>
          </w:p>
          <w:p w14:paraId="78E94B8A" w14:textId="4A2FC117" w:rsidR="00CB1CD7" w:rsidRPr="00CB1CD7" w:rsidRDefault="009A2321" w:rsidP="009A2321">
            <w:pPr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9A2321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Opioiden.</w:t>
            </w:r>
          </w:p>
        </w:tc>
      </w:tr>
      <w:tr w:rsidR="003F1682" w:rsidRPr="00792EF2" w14:paraId="461CDF17" w14:textId="77777777" w:rsidTr="003F1682">
        <w:tc>
          <w:tcPr>
            <w:tcW w:w="9067" w:type="dxa"/>
          </w:tcPr>
          <w:p w14:paraId="39F8F9EC" w14:textId="77777777" w:rsidR="009A2321" w:rsidRPr="009A2321" w:rsidRDefault="009A2321" w:rsidP="009A2321">
            <w:pPr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9A2321"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  <w:t>2. Tipp: Zeigen Sie Ihre Kooperationspartner auf</w:t>
            </w:r>
          </w:p>
          <w:p w14:paraId="3D0D9877" w14:textId="63596AA1" w:rsidR="009A2321" w:rsidRPr="009A2321" w:rsidRDefault="009A2321" w:rsidP="009A2321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9A2321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Schon zu Beginn Ihres Auftrags können Sie Ihrem Patienten und seinen </w:t>
            </w:r>
            <w:r w:rsidR="00AC0F6A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A</w:t>
            </w:r>
            <w:r w:rsidRPr="009A2321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ngehörigen</w:t>
            </w:r>
            <w:r w:rsidR="00AC0F6A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  <w:r w:rsidRPr="009A2321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mögliche Kooperationspartner mit ihrem Angebot vorstellen. Wichtig</w:t>
            </w:r>
          </w:p>
          <w:p w14:paraId="4D9ED9BB" w14:textId="77777777" w:rsidR="009A2321" w:rsidRPr="009A2321" w:rsidRDefault="009A2321" w:rsidP="009A2321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9A2321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ist, deutlich zu machen, dass viele dieser Angebote nicht auf die eigentliche</w:t>
            </w:r>
          </w:p>
          <w:p w14:paraId="6213C63B" w14:textId="77777777" w:rsidR="009A2321" w:rsidRPr="009A2321" w:rsidRDefault="009A2321" w:rsidP="009A2321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9A2321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Sterbephase begrenzt sind, z. B. der Einbezug eines Palliativarztes. Erstellen</w:t>
            </w:r>
          </w:p>
          <w:p w14:paraId="2BA8A378" w14:textId="77777777" w:rsidR="009A2321" w:rsidRPr="009A2321" w:rsidRDefault="009A2321" w:rsidP="009A2321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9A2321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Sie am besten eine Liste mit Ihren Kooperationspartnern und deren wesentlichen</w:t>
            </w:r>
          </w:p>
          <w:p w14:paraId="41D3EA78" w14:textId="4872EF9E" w:rsidR="00AC4E35" w:rsidRPr="002455EF" w:rsidRDefault="009A2321" w:rsidP="00AC0F6A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9A2321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Aufgaben. Diese Liste können Sie dann Ihren zu Pflegenden und den</w:t>
            </w:r>
            <w:r w:rsidR="00AC0F6A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  <w:r w:rsidRPr="009A2321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Anverwandten aushändigen.</w:t>
            </w:r>
          </w:p>
        </w:tc>
      </w:tr>
      <w:tr w:rsidR="0047703A" w:rsidRPr="00792EF2" w14:paraId="26D476CD" w14:textId="77777777" w:rsidTr="003F1682">
        <w:tc>
          <w:tcPr>
            <w:tcW w:w="9067" w:type="dxa"/>
          </w:tcPr>
          <w:p w14:paraId="2F0CF5D9" w14:textId="497C4220" w:rsidR="0077400E" w:rsidRPr="0077400E" w:rsidRDefault="0077400E" w:rsidP="0077400E">
            <w:pPr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77400E"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  <w:t>3. Tipp: Erheben Sie schon zu Beginn den „Palliativ-Status“ des zu Pflegenden</w:t>
            </w:r>
          </w:p>
          <w:p w14:paraId="1F406511" w14:textId="77777777" w:rsidR="0077400E" w:rsidRPr="0077400E" w:rsidRDefault="0077400E" w:rsidP="0077400E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77400E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Viele Ihrer Patienten im ambulanten Bereich leiden an nicht heilbaren Erkrankungen.</w:t>
            </w:r>
          </w:p>
          <w:p w14:paraId="5FED1F3E" w14:textId="7BF6757A" w:rsidR="000508E8" w:rsidRPr="00634749" w:rsidRDefault="0077400E" w:rsidP="0077400E">
            <w:r w:rsidRPr="0077400E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Das bedeutet aber nicht, dass die Symptome der Betroffenen</w:t>
            </w: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  <w:r w:rsidRPr="0077400E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nicht gelindert werden können. Erheben Sie daher schon zu Beginn des Auftrags,</w:t>
            </w: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  <w:r w:rsidRPr="0077400E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unter welcher Symptomlast Ihr Pflegekunde aktuell leidet und welche</w:t>
            </w: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  <w:r w:rsidRPr="0077400E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möglichen Symptome aufgrund der bekannten Erkrankungen auftreten können.</w:t>
            </w:r>
          </w:p>
        </w:tc>
      </w:tr>
      <w:tr w:rsidR="00731BA9" w:rsidRPr="00792EF2" w14:paraId="06C54C92" w14:textId="77777777" w:rsidTr="003F1682">
        <w:tc>
          <w:tcPr>
            <w:tcW w:w="9067" w:type="dxa"/>
          </w:tcPr>
          <w:p w14:paraId="5BF47BAF" w14:textId="77777777" w:rsidR="000D56D5" w:rsidRPr="000D56D5" w:rsidRDefault="000D56D5" w:rsidP="000D56D5">
            <w:pPr>
              <w:pStyle w:val="Pa3"/>
              <w:rPr>
                <w:rFonts w:ascii="Arial" w:hAnsi="Arial" w:cs="Arial"/>
                <w:b/>
                <w:bCs/>
                <w:color w:val="000000"/>
              </w:rPr>
            </w:pPr>
            <w:r w:rsidRPr="000D56D5">
              <w:rPr>
                <w:rFonts w:ascii="Arial" w:hAnsi="Arial" w:cs="Arial"/>
                <w:b/>
                <w:bCs/>
                <w:color w:val="000000"/>
              </w:rPr>
              <w:t>4. Tipp: Haben Sie immer auch die Not der Angehörigen im Blick</w:t>
            </w:r>
          </w:p>
          <w:p w14:paraId="4D39D213" w14:textId="77777777" w:rsidR="000D56D5" w:rsidRPr="000D56D5" w:rsidRDefault="000D56D5" w:rsidP="000D56D5">
            <w:pPr>
              <w:pStyle w:val="Pa3"/>
              <w:rPr>
                <w:rFonts w:ascii="Arial" w:hAnsi="Arial" w:cs="Arial"/>
                <w:color w:val="000000"/>
              </w:rPr>
            </w:pPr>
            <w:r w:rsidRPr="000D56D5">
              <w:rPr>
                <w:rFonts w:ascii="Arial" w:hAnsi="Arial" w:cs="Arial"/>
                <w:color w:val="000000"/>
              </w:rPr>
              <w:t>Leider wird die Angehörigenarbeit im ambulanten Bereich nicht refinanziert.</w:t>
            </w:r>
          </w:p>
          <w:p w14:paraId="3E3CF327" w14:textId="77777777" w:rsidR="000D56D5" w:rsidRPr="000D56D5" w:rsidRDefault="000D56D5" w:rsidP="000D56D5">
            <w:pPr>
              <w:pStyle w:val="Pa3"/>
              <w:rPr>
                <w:rFonts w:ascii="Arial" w:hAnsi="Arial" w:cs="Arial"/>
                <w:color w:val="000000"/>
              </w:rPr>
            </w:pPr>
            <w:r w:rsidRPr="000D56D5">
              <w:rPr>
                <w:rFonts w:ascii="Arial" w:hAnsi="Arial" w:cs="Arial"/>
                <w:color w:val="000000"/>
              </w:rPr>
              <w:t>Nichtsdestotrotz sollten Sie im Sinne der Kundenzufriedenheit und des Konzepts</w:t>
            </w:r>
          </w:p>
          <w:p w14:paraId="4544815B" w14:textId="526E2AB0" w:rsidR="000D56D5" w:rsidRPr="000D56D5" w:rsidRDefault="000D56D5" w:rsidP="000D56D5">
            <w:pPr>
              <w:pStyle w:val="Pa3"/>
              <w:rPr>
                <w:rFonts w:ascii="Arial" w:hAnsi="Arial" w:cs="Arial"/>
                <w:color w:val="000000"/>
              </w:rPr>
            </w:pPr>
            <w:r w:rsidRPr="000D56D5">
              <w:rPr>
                <w:rFonts w:ascii="Arial" w:hAnsi="Arial" w:cs="Arial"/>
                <w:color w:val="000000"/>
              </w:rPr>
              <w:t>der Palliative Care immer auch die Not der Zugehörigen mit im Blick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0D56D5">
              <w:rPr>
                <w:rFonts w:ascii="Arial" w:hAnsi="Arial" w:cs="Arial"/>
                <w:color w:val="000000"/>
              </w:rPr>
              <w:t>haben. Je stärker die Anverwandten Ihrer Patienten psychisch aufgestellt sind,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0D56D5">
              <w:rPr>
                <w:rFonts w:ascii="Arial" w:hAnsi="Arial" w:cs="Arial"/>
                <w:color w:val="000000"/>
              </w:rPr>
              <w:t>desto besser können diese die schweren Aufgaben der Palliativversorgung und</w:t>
            </w:r>
          </w:p>
          <w:p w14:paraId="7A1B5CD5" w14:textId="70236895" w:rsidR="000508E8" w:rsidRPr="000508E8" w:rsidRDefault="000D56D5" w:rsidP="000D56D5">
            <w:pPr>
              <w:pStyle w:val="Pa3"/>
            </w:pPr>
            <w:r w:rsidRPr="000D56D5">
              <w:rPr>
                <w:rFonts w:ascii="Arial" w:hAnsi="Arial" w:cs="Arial"/>
                <w:color w:val="000000"/>
              </w:rPr>
              <w:t>Sterbebegleitung meistern.</w:t>
            </w:r>
          </w:p>
        </w:tc>
      </w:tr>
      <w:tr w:rsidR="000508E8" w:rsidRPr="00792EF2" w14:paraId="36BFCE50" w14:textId="77777777" w:rsidTr="003F1682">
        <w:tc>
          <w:tcPr>
            <w:tcW w:w="9067" w:type="dxa"/>
          </w:tcPr>
          <w:p w14:paraId="37C33E11" w14:textId="77777777" w:rsidR="00D15064" w:rsidRPr="00D15064" w:rsidRDefault="00D15064" w:rsidP="00D15064">
            <w:pPr>
              <w:pStyle w:val="Pa3"/>
              <w:rPr>
                <w:rFonts w:ascii="Arial" w:hAnsi="Arial" w:cs="Arial"/>
                <w:b/>
                <w:bCs/>
                <w:color w:val="000000"/>
              </w:rPr>
            </w:pPr>
            <w:r w:rsidRPr="00D15064">
              <w:rPr>
                <w:rFonts w:ascii="Arial" w:hAnsi="Arial" w:cs="Arial"/>
                <w:b/>
                <w:bCs/>
                <w:color w:val="000000"/>
              </w:rPr>
              <w:t>5. Tipp: Qualifizieren Sie Mitarbeiter in Palliative Care</w:t>
            </w:r>
          </w:p>
          <w:p w14:paraId="5830DB14" w14:textId="77777777" w:rsidR="00D15064" w:rsidRPr="00D15064" w:rsidRDefault="00D15064" w:rsidP="00D15064">
            <w:pPr>
              <w:pStyle w:val="Pa3"/>
              <w:rPr>
                <w:rFonts w:ascii="Arial" w:hAnsi="Arial" w:cs="Arial"/>
                <w:color w:val="000000"/>
              </w:rPr>
            </w:pPr>
            <w:r w:rsidRPr="00D15064">
              <w:rPr>
                <w:rFonts w:ascii="Arial" w:hAnsi="Arial" w:cs="Arial"/>
                <w:color w:val="000000"/>
              </w:rPr>
              <w:t>Es empfiehlt sich, Mitarbeiter mit der Zusatzqualifikation „Palliative Care“ im</w:t>
            </w:r>
          </w:p>
          <w:p w14:paraId="6551845A" w14:textId="77777777" w:rsidR="00D15064" w:rsidRPr="00D15064" w:rsidRDefault="00D15064" w:rsidP="00D15064">
            <w:pPr>
              <w:pStyle w:val="Pa3"/>
              <w:rPr>
                <w:rFonts w:ascii="Arial" w:hAnsi="Arial" w:cs="Arial"/>
                <w:color w:val="000000"/>
              </w:rPr>
            </w:pPr>
            <w:r w:rsidRPr="00D15064">
              <w:rPr>
                <w:rFonts w:ascii="Arial" w:hAnsi="Arial" w:cs="Arial"/>
                <w:color w:val="000000"/>
              </w:rPr>
              <w:t>Team zu haben. Diese können dann weitere Kollegen beraten und unterstützen.</w:t>
            </w:r>
          </w:p>
          <w:p w14:paraId="746A6ADA" w14:textId="545CC3F1" w:rsidR="00D15064" w:rsidRPr="00D15064" w:rsidRDefault="00D15064" w:rsidP="00D15064">
            <w:pPr>
              <w:pStyle w:val="Pa3"/>
              <w:rPr>
                <w:rFonts w:ascii="Arial" w:hAnsi="Arial" w:cs="Arial"/>
                <w:color w:val="000000"/>
              </w:rPr>
            </w:pPr>
            <w:r w:rsidRPr="00D15064">
              <w:rPr>
                <w:rFonts w:ascii="Arial" w:hAnsi="Arial" w:cs="Arial"/>
                <w:color w:val="000000"/>
              </w:rPr>
              <w:t>Zudem können sie als Mittler zum Hausarzt fungieren. Die Praxiserfahrung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D15064">
              <w:rPr>
                <w:rFonts w:ascii="Arial" w:hAnsi="Arial" w:cs="Arial"/>
                <w:color w:val="000000"/>
              </w:rPr>
              <w:t>zeigt sehr deutlich, dass Hausärzte fachlichen Argumenten gegenüber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D15064">
              <w:rPr>
                <w:rFonts w:ascii="Arial" w:hAnsi="Arial" w:cs="Arial"/>
                <w:color w:val="000000"/>
              </w:rPr>
              <w:t>aufgeschlossen sind. Zudem könnten diese Palliativ-Mitarbeiter als Fachberater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D15064">
              <w:rPr>
                <w:rFonts w:ascii="Arial" w:hAnsi="Arial" w:cs="Arial"/>
                <w:color w:val="000000"/>
              </w:rPr>
              <w:t>bei Fallbesprechungen eingesetzt werden. Eine Möglichkeit der Qualifizierung</w:t>
            </w:r>
          </w:p>
          <w:p w14:paraId="31922A07" w14:textId="77777777" w:rsidR="00D15064" w:rsidRPr="00D15064" w:rsidRDefault="00D15064" w:rsidP="00D15064">
            <w:pPr>
              <w:pStyle w:val="Pa3"/>
              <w:rPr>
                <w:rFonts w:ascii="Arial" w:hAnsi="Arial" w:cs="Arial"/>
                <w:color w:val="000000"/>
              </w:rPr>
            </w:pPr>
            <w:r w:rsidRPr="00D15064">
              <w:rPr>
                <w:rFonts w:ascii="Arial" w:hAnsi="Arial" w:cs="Arial"/>
                <w:color w:val="000000"/>
              </w:rPr>
              <w:t>bietet auch unser Fernkurs (https://www.ppm-pflegefernkurse.de/palliativbeauftragter-</w:t>
            </w:r>
          </w:p>
          <w:p w14:paraId="49D62114" w14:textId="4F6319B2" w:rsidR="00B1668F" w:rsidRPr="00B1668F" w:rsidRDefault="00D15064" w:rsidP="00D15064">
            <w:pPr>
              <w:pStyle w:val="Pa3"/>
            </w:pPr>
            <w:proofErr w:type="spellStart"/>
            <w:r w:rsidRPr="00D15064">
              <w:rPr>
                <w:rFonts w:ascii="Arial" w:hAnsi="Arial" w:cs="Arial"/>
                <w:color w:val="000000"/>
              </w:rPr>
              <w:lastRenderedPageBreak/>
              <w:t>altenhilfe</w:t>
            </w:r>
            <w:proofErr w:type="spellEnd"/>
            <w:r w:rsidRPr="00D15064">
              <w:rPr>
                <w:rFonts w:ascii="Arial" w:hAnsi="Arial" w:cs="Arial"/>
                <w:color w:val="000000"/>
              </w:rPr>
              <w:t>).</w:t>
            </w:r>
          </w:p>
        </w:tc>
      </w:tr>
    </w:tbl>
    <w:p w14:paraId="3B2AEC71" w14:textId="77777777" w:rsidR="003B050E" w:rsidRDefault="003B050E"/>
    <w:sectPr w:rsidR="003B050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cala Sans Offc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A474D"/>
    <w:multiLevelType w:val="hybridMultilevel"/>
    <w:tmpl w:val="31FAC92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A4207"/>
    <w:multiLevelType w:val="hybridMultilevel"/>
    <w:tmpl w:val="63809E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53F1B"/>
    <w:multiLevelType w:val="hybridMultilevel"/>
    <w:tmpl w:val="6F00B08A"/>
    <w:lvl w:ilvl="0" w:tplc="427E69F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7D76C6"/>
    <w:multiLevelType w:val="hybridMultilevel"/>
    <w:tmpl w:val="B6849F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EF5519"/>
    <w:multiLevelType w:val="hybridMultilevel"/>
    <w:tmpl w:val="12082EC8"/>
    <w:lvl w:ilvl="0" w:tplc="407C69A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33440900">
    <w:abstractNumId w:val="0"/>
  </w:num>
  <w:num w:numId="2" w16cid:durableId="532503510">
    <w:abstractNumId w:val="3"/>
  </w:num>
  <w:num w:numId="3" w16cid:durableId="1597441138">
    <w:abstractNumId w:val="1"/>
  </w:num>
  <w:num w:numId="4" w16cid:durableId="834611950">
    <w:abstractNumId w:val="4"/>
  </w:num>
  <w:num w:numId="5" w16cid:durableId="13575363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50E"/>
    <w:rsid w:val="00006310"/>
    <w:rsid w:val="0002010B"/>
    <w:rsid w:val="00024D6F"/>
    <w:rsid w:val="00031A32"/>
    <w:rsid w:val="00032063"/>
    <w:rsid w:val="000508E8"/>
    <w:rsid w:val="000A5985"/>
    <w:rsid w:val="000B7DDC"/>
    <w:rsid w:val="000D56D5"/>
    <w:rsid w:val="001479AE"/>
    <w:rsid w:val="00167459"/>
    <w:rsid w:val="002417AB"/>
    <w:rsid w:val="002455EF"/>
    <w:rsid w:val="00250DC4"/>
    <w:rsid w:val="002725BC"/>
    <w:rsid w:val="002B0013"/>
    <w:rsid w:val="002B5556"/>
    <w:rsid w:val="002D045E"/>
    <w:rsid w:val="00326E0D"/>
    <w:rsid w:val="003A3C84"/>
    <w:rsid w:val="003B050E"/>
    <w:rsid w:val="003C6D81"/>
    <w:rsid w:val="003E7D3F"/>
    <w:rsid w:val="003F1682"/>
    <w:rsid w:val="004140C9"/>
    <w:rsid w:val="0047703A"/>
    <w:rsid w:val="0047790C"/>
    <w:rsid w:val="004B17E1"/>
    <w:rsid w:val="004F5E06"/>
    <w:rsid w:val="00500C33"/>
    <w:rsid w:val="00503CF7"/>
    <w:rsid w:val="00535F64"/>
    <w:rsid w:val="00544D7C"/>
    <w:rsid w:val="005A1D7B"/>
    <w:rsid w:val="005C57AF"/>
    <w:rsid w:val="005F0FB4"/>
    <w:rsid w:val="005F2D93"/>
    <w:rsid w:val="0060237F"/>
    <w:rsid w:val="00624FB0"/>
    <w:rsid w:val="00634749"/>
    <w:rsid w:val="0063785B"/>
    <w:rsid w:val="00652DF8"/>
    <w:rsid w:val="00680A90"/>
    <w:rsid w:val="006B1ED3"/>
    <w:rsid w:val="0071691D"/>
    <w:rsid w:val="00731BA9"/>
    <w:rsid w:val="0076693C"/>
    <w:rsid w:val="0077400E"/>
    <w:rsid w:val="00776EBF"/>
    <w:rsid w:val="00792EF2"/>
    <w:rsid w:val="007A0164"/>
    <w:rsid w:val="007B56F8"/>
    <w:rsid w:val="00880791"/>
    <w:rsid w:val="00881F32"/>
    <w:rsid w:val="00897083"/>
    <w:rsid w:val="009262D4"/>
    <w:rsid w:val="0094072F"/>
    <w:rsid w:val="00945DC8"/>
    <w:rsid w:val="00971AFB"/>
    <w:rsid w:val="009A2321"/>
    <w:rsid w:val="009D059C"/>
    <w:rsid w:val="009D2F76"/>
    <w:rsid w:val="009D3A29"/>
    <w:rsid w:val="009E19A6"/>
    <w:rsid w:val="00A06275"/>
    <w:rsid w:val="00AC0F6A"/>
    <w:rsid w:val="00AC4E35"/>
    <w:rsid w:val="00B1668F"/>
    <w:rsid w:val="00B258EF"/>
    <w:rsid w:val="00B82A52"/>
    <w:rsid w:val="00BA61B3"/>
    <w:rsid w:val="00BF4EBF"/>
    <w:rsid w:val="00C80BC4"/>
    <w:rsid w:val="00C8130A"/>
    <w:rsid w:val="00CA0A69"/>
    <w:rsid w:val="00CA1A30"/>
    <w:rsid w:val="00CB1CD7"/>
    <w:rsid w:val="00CC7296"/>
    <w:rsid w:val="00D10FC8"/>
    <w:rsid w:val="00D15064"/>
    <w:rsid w:val="00D95E09"/>
    <w:rsid w:val="00E46F53"/>
    <w:rsid w:val="00E471AC"/>
    <w:rsid w:val="00E6115C"/>
    <w:rsid w:val="00E64A1A"/>
    <w:rsid w:val="00E9638B"/>
    <w:rsid w:val="00F17C47"/>
    <w:rsid w:val="00F4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9D52D"/>
  <w15:chartTrackingRefBased/>
  <w15:docId w15:val="{06B3F8F2-54EF-4558-9F00-098165BAF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B05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B0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B05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B05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B05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B05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B05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B05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B05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B05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B05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B05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B050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B050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B050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B050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B050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B050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B05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B0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B05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B05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B05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B050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B050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B050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B05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B050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B050E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3B0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3">
    <w:name w:val="Pa3"/>
    <w:basedOn w:val="Standard"/>
    <w:next w:val="Standard"/>
    <w:uiPriority w:val="99"/>
    <w:rsid w:val="003B050E"/>
    <w:pPr>
      <w:autoSpaceDE w:val="0"/>
      <w:autoSpaceDN w:val="0"/>
      <w:adjustRightInd w:val="0"/>
      <w:spacing w:after="0" w:line="201" w:lineRule="atLeast"/>
    </w:pPr>
    <w:rPr>
      <w:rFonts w:ascii="Scala Sans Offc Pro" w:hAnsi="Scala Sans Offc Pro"/>
      <w:kern w:val="0"/>
      <w:sz w:val="24"/>
      <w:szCs w:val="24"/>
    </w:rPr>
  </w:style>
  <w:style w:type="paragraph" w:customStyle="1" w:styleId="Pa14">
    <w:name w:val="Pa14"/>
    <w:basedOn w:val="Standard"/>
    <w:next w:val="Standard"/>
    <w:uiPriority w:val="99"/>
    <w:rsid w:val="003B050E"/>
    <w:pPr>
      <w:autoSpaceDE w:val="0"/>
      <w:autoSpaceDN w:val="0"/>
      <w:adjustRightInd w:val="0"/>
      <w:spacing w:after="0" w:line="201" w:lineRule="atLeast"/>
    </w:pPr>
    <w:rPr>
      <w:rFonts w:ascii="Scala Sans Offc Pro" w:hAnsi="Scala Sans Offc Pro"/>
      <w:kern w:val="0"/>
      <w:sz w:val="24"/>
      <w:szCs w:val="24"/>
    </w:rPr>
  </w:style>
  <w:style w:type="paragraph" w:customStyle="1" w:styleId="Pa15">
    <w:name w:val="Pa15"/>
    <w:basedOn w:val="Standard"/>
    <w:next w:val="Standard"/>
    <w:uiPriority w:val="99"/>
    <w:rsid w:val="00535F64"/>
    <w:pPr>
      <w:autoSpaceDE w:val="0"/>
      <w:autoSpaceDN w:val="0"/>
      <w:adjustRightInd w:val="0"/>
      <w:spacing w:after="0" w:line="201" w:lineRule="atLeast"/>
    </w:pPr>
    <w:rPr>
      <w:rFonts w:ascii="Scala Sans Offc Pro" w:hAnsi="Scala Sans Offc Pr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b35a61-881d-4e0a-be93-7f4ad4d36cf2">
      <Terms xmlns="http://schemas.microsoft.com/office/infopath/2007/PartnerControls"/>
    </lcf76f155ced4ddcb4097134ff3c332f>
    <TaxCatchAll xmlns="8f48cb59-1f79-4fdb-92f2-18f977c0606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B0664CA10368488EA98BE4DE31D7F2" ma:contentTypeVersion="18" ma:contentTypeDescription="Ein neues Dokument erstellen." ma:contentTypeScope="" ma:versionID="f15cb783b58b49f8085f5678a164a7c1">
  <xsd:schema xmlns:xsd="http://www.w3.org/2001/XMLSchema" xmlns:xs="http://www.w3.org/2001/XMLSchema" xmlns:p="http://schemas.microsoft.com/office/2006/metadata/properties" xmlns:ns2="25b35a61-881d-4e0a-be93-7f4ad4d36cf2" xmlns:ns3="8f48cb59-1f79-4fdb-92f2-18f977c06069" targetNamespace="http://schemas.microsoft.com/office/2006/metadata/properties" ma:root="true" ma:fieldsID="3f43ebdb071680384e802e6dd3647569" ns2:_="" ns3:_="">
    <xsd:import namespace="25b35a61-881d-4e0a-be93-7f4ad4d36cf2"/>
    <xsd:import namespace="8f48cb59-1f79-4fdb-92f2-18f977c06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35a61-881d-4e0a-be93-7f4ad4d36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8cb59-1f79-4fdb-92f2-18f977c0606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acbfaa-a184-410c-b771-3b9847d731c4}" ma:internalName="TaxCatchAll" ma:showField="CatchAllData" ma:web="8f48cb59-1f79-4fdb-92f2-18f977c06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9AD8E8-4E28-4DA4-9F06-7DAA6A7CDD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11D169-2836-4302-8DE3-64F01052A6BE}">
  <ds:schemaRefs>
    <ds:schemaRef ds:uri="http://schemas.microsoft.com/office/2006/metadata/properties"/>
    <ds:schemaRef ds:uri="http://schemas.microsoft.com/office/infopath/2007/PartnerControls"/>
    <ds:schemaRef ds:uri="25b35a61-881d-4e0a-be93-7f4ad4d36cf2"/>
    <ds:schemaRef ds:uri="8f48cb59-1f79-4fdb-92f2-18f977c06069"/>
  </ds:schemaRefs>
</ds:datastoreItem>
</file>

<file path=customXml/itemProps3.xml><?xml version="1.0" encoding="utf-8"?>
<ds:datastoreItem xmlns:ds="http://schemas.openxmlformats.org/officeDocument/2006/customXml" ds:itemID="{C9F61DE5-FAE1-4C09-97B8-17D0FE55AA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b35a61-881d-4e0a-be93-7f4ad4d36cf2"/>
    <ds:schemaRef ds:uri="8f48cb59-1f79-4fdb-92f2-18f977c06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NMA - Nathalia Martín Ayala</dc:creator>
  <cp:keywords/>
  <dc:description/>
  <cp:lastModifiedBy>Annika Holtmannspötter</cp:lastModifiedBy>
  <cp:revision>2</cp:revision>
  <dcterms:created xsi:type="dcterms:W3CDTF">2025-09-25T05:57:00Z</dcterms:created>
  <dcterms:modified xsi:type="dcterms:W3CDTF">2025-09-25T05:57:00Z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0x01010004B0664CA10368488EA98BE4DE31D7F2</vt:lpwstr>
  </property>
  <property fmtid="{D5CDD505-2E9C-101B-9397-08002B2CF9AE}" pid="3" name="MediaServiceImageTags">
    <vt:lpwstr/>
  </property>
</Properties>
</file>